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5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II</w:t>
      </w:r>
    </w:p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9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992"/>
        <w:gridCol w:w="2159"/>
        <w:gridCol w:w="2552"/>
      </w:tblGrid>
      <w:tr w:rsidR="00E105F8" w:rsidRPr="00D01995" w:rsidTr="00E105F8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10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Qtd.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concorrentes que participaram do evento: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992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2159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E105F8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992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E105F8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53364D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</w:rPr>
            </w:pPr>
            <w:r w:rsidRPr="0053364D">
              <w:rPr>
                <w:rFonts w:ascii="Arial" w:hAnsi="Arial" w:cs="Arial"/>
                <w:b/>
                <w:imprint/>
                <w:color w:val="FFFFFF"/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1º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2º</w:t>
            </w:r>
          </w:p>
        </w:tc>
        <w:tc>
          <w:tcPr>
            <w:tcW w:w="378" w:type="dxa"/>
          </w:tcPr>
          <w:p w:rsidR="00E105F8" w:rsidRPr="00C623E7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</w:pPr>
            <w:r w:rsidRPr="00C623E7">
              <w:rPr>
                <w:rFonts w:ascii="Arial" w:hAnsi="Arial" w:cs="Arial"/>
                <w:b/>
                <w:imprint/>
                <w:color w:val="FFFFFF"/>
                <w:sz w:val="16"/>
                <w:szCs w:val="16"/>
              </w:rPr>
              <w:t>3º</w:t>
            </w:r>
          </w:p>
        </w:tc>
        <w:tc>
          <w:tcPr>
            <w:tcW w:w="99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realização do evento conforme art. 3º inciso X, art. 4º inciso VIII e art. 5º inciso VI desta Portaria</w:t>
      </w:r>
      <w:r w:rsidR="0053364D" w:rsidRPr="00B57343">
        <w:rPr>
          <w:rFonts w:ascii="Arial" w:hAnsi="Arial" w:cs="Arial"/>
          <w:b/>
        </w:rPr>
        <w:t>.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9D74D0"/>
    <w:rsid w:val="00C623E7"/>
    <w:rsid w:val="00C83545"/>
    <w:rsid w:val="00D01995"/>
    <w:rsid w:val="00E105F8"/>
    <w:rsid w:val="00EB4B6E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5187-A50B-4551-89E0-64C4475F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tkumagai</cp:lastModifiedBy>
  <cp:revision>7</cp:revision>
  <cp:lastPrinted>2017-06-21T11:36:00Z</cp:lastPrinted>
  <dcterms:created xsi:type="dcterms:W3CDTF">2017-06-20T19:35:00Z</dcterms:created>
  <dcterms:modified xsi:type="dcterms:W3CDTF">2017-08-25T14:42:00Z</dcterms:modified>
</cp:coreProperties>
</file>