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36A14" w14:textId="7A7B5BAB" w:rsidR="0012080A" w:rsidRPr="00D477EC" w:rsidRDefault="0012080A" w:rsidP="0012080A">
      <w:pPr>
        <w:spacing w:line="360" w:lineRule="auto"/>
        <w:jc w:val="both"/>
        <w:rPr>
          <w:rFonts w:asciiTheme="minorHAnsi" w:hAnsiTheme="minorHAnsi" w:cs="Calibri"/>
          <w:sz w:val="24"/>
          <w:szCs w:val="24"/>
        </w:rPr>
      </w:pPr>
      <w:bookmarkStart w:id="0" w:name="_GoBack"/>
      <w:bookmarkEnd w:id="0"/>
      <w:r w:rsidRPr="00D477EC">
        <w:rPr>
          <w:rFonts w:asciiTheme="minorHAnsi" w:hAnsiTheme="minorHAnsi" w:cs="Calibri"/>
          <w:sz w:val="24"/>
          <w:szCs w:val="24"/>
        </w:rPr>
        <w:t>DELIBERAÇÃO CSC</w:t>
      </w:r>
      <w:r w:rsidR="0062049A" w:rsidRPr="00D477EC">
        <w:rPr>
          <w:rFonts w:asciiTheme="minorHAnsi" w:hAnsiTheme="minorHAnsi" w:cs="Calibri"/>
          <w:sz w:val="24"/>
          <w:szCs w:val="24"/>
        </w:rPr>
        <w:t>/</w:t>
      </w:r>
      <w:r w:rsidR="007B1ED7" w:rsidRPr="00D477EC">
        <w:rPr>
          <w:rFonts w:asciiTheme="minorHAnsi" w:hAnsiTheme="minorHAnsi" w:cs="Calibri"/>
          <w:sz w:val="24"/>
          <w:szCs w:val="24"/>
        </w:rPr>
        <w:t>FUNDESPORTE</w:t>
      </w:r>
      <w:r w:rsidRPr="00D477EC">
        <w:rPr>
          <w:rFonts w:asciiTheme="minorHAnsi" w:hAnsiTheme="minorHAnsi" w:cs="Calibri"/>
          <w:sz w:val="24"/>
          <w:szCs w:val="24"/>
        </w:rPr>
        <w:t xml:space="preserve"> N</w:t>
      </w:r>
      <w:r w:rsidRPr="00D477EC">
        <w:rPr>
          <w:rFonts w:asciiTheme="minorHAnsi" w:hAnsiTheme="minorHAnsi" w:cs="Calibri"/>
          <w:sz w:val="24"/>
          <w:szCs w:val="24"/>
          <w:vertAlign w:val="superscript"/>
        </w:rPr>
        <w:t>o</w:t>
      </w:r>
      <w:r w:rsidR="00CB1980" w:rsidRPr="00D477EC">
        <w:rPr>
          <w:rFonts w:asciiTheme="minorHAnsi" w:hAnsiTheme="minorHAnsi" w:cs="Calibri"/>
          <w:sz w:val="24"/>
          <w:szCs w:val="24"/>
        </w:rPr>
        <w:t xml:space="preserve"> </w:t>
      </w:r>
      <w:r w:rsidR="00914AF4" w:rsidRPr="00D477EC">
        <w:rPr>
          <w:rFonts w:asciiTheme="minorHAnsi" w:hAnsiTheme="minorHAnsi" w:cs="Calibri"/>
          <w:sz w:val="24"/>
          <w:szCs w:val="24"/>
        </w:rPr>
        <w:t>001</w:t>
      </w:r>
      <w:r w:rsidR="00FF77CB" w:rsidRPr="00D477EC">
        <w:rPr>
          <w:rFonts w:asciiTheme="minorHAnsi" w:hAnsiTheme="minorHAnsi" w:cs="Calibri"/>
          <w:sz w:val="24"/>
          <w:szCs w:val="24"/>
        </w:rPr>
        <w:t xml:space="preserve">, DE </w:t>
      </w:r>
      <w:r w:rsidR="004E5C79">
        <w:rPr>
          <w:rFonts w:asciiTheme="minorHAnsi" w:hAnsiTheme="minorHAnsi" w:cs="Calibri"/>
          <w:sz w:val="24"/>
          <w:szCs w:val="24"/>
        </w:rPr>
        <w:t>7</w:t>
      </w:r>
      <w:r w:rsidR="00CB1980" w:rsidRPr="00D477EC">
        <w:rPr>
          <w:rFonts w:asciiTheme="minorHAnsi" w:hAnsiTheme="minorHAnsi" w:cs="Calibri"/>
          <w:sz w:val="24"/>
          <w:szCs w:val="24"/>
        </w:rPr>
        <w:t xml:space="preserve"> DE </w:t>
      </w:r>
      <w:r w:rsidR="004E5C79">
        <w:rPr>
          <w:rFonts w:asciiTheme="minorHAnsi" w:hAnsiTheme="minorHAnsi" w:cs="Calibri"/>
          <w:sz w:val="24"/>
          <w:szCs w:val="24"/>
        </w:rPr>
        <w:t>MAIO</w:t>
      </w:r>
      <w:r w:rsidR="00CB1980" w:rsidRPr="00D477EC">
        <w:rPr>
          <w:rFonts w:asciiTheme="minorHAnsi" w:hAnsiTheme="minorHAnsi" w:cs="Calibri"/>
          <w:sz w:val="24"/>
          <w:szCs w:val="24"/>
        </w:rPr>
        <w:t xml:space="preserve"> DE 202</w:t>
      </w:r>
      <w:r w:rsidR="00914AF4" w:rsidRPr="00D477EC">
        <w:rPr>
          <w:rFonts w:asciiTheme="minorHAnsi" w:hAnsiTheme="minorHAnsi" w:cs="Calibri"/>
          <w:sz w:val="24"/>
          <w:szCs w:val="24"/>
        </w:rPr>
        <w:t>6.</w:t>
      </w:r>
    </w:p>
    <w:p w14:paraId="586943A7" w14:textId="77777777" w:rsidR="0012080A" w:rsidRPr="00D477EC" w:rsidRDefault="0012080A" w:rsidP="0012080A">
      <w:pPr>
        <w:spacing w:line="360" w:lineRule="auto"/>
        <w:ind w:firstLine="708"/>
        <w:jc w:val="both"/>
        <w:rPr>
          <w:rFonts w:asciiTheme="minorHAnsi" w:hAnsiTheme="minorHAnsi" w:cs="Calibri"/>
          <w:sz w:val="24"/>
          <w:szCs w:val="24"/>
        </w:rPr>
      </w:pPr>
    </w:p>
    <w:p w14:paraId="595534F5" w14:textId="0D68AA93" w:rsidR="0012080A" w:rsidRPr="00D477EC" w:rsidRDefault="0012080A" w:rsidP="0012080A">
      <w:pPr>
        <w:spacing w:line="360" w:lineRule="auto"/>
        <w:ind w:left="3969"/>
        <w:jc w:val="both"/>
        <w:rPr>
          <w:rFonts w:asciiTheme="minorHAnsi" w:eastAsia="Times New Roman" w:hAnsiTheme="minorHAnsi" w:cs="Calibri"/>
          <w:i/>
          <w:iCs/>
          <w:sz w:val="24"/>
          <w:szCs w:val="24"/>
        </w:rPr>
      </w:pPr>
      <w:r w:rsidRPr="00D477EC">
        <w:rPr>
          <w:rFonts w:asciiTheme="minorHAnsi" w:hAnsiTheme="minorHAnsi" w:cs="Calibri"/>
          <w:i/>
          <w:iCs/>
          <w:sz w:val="24"/>
          <w:szCs w:val="24"/>
        </w:rPr>
        <w:t>Aprova a Política de Ges</w:t>
      </w:r>
      <w:r w:rsidR="007B1ED7" w:rsidRPr="00D477EC">
        <w:rPr>
          <w:rFonts w:asciiTheme="minorHAnsi" w:hAnsiTheme="minorHAnsi" w:cs="Calibri"/>
          <w:i/>
          <w:iCs/>
          <w:sz w:val="24"/>
          <w:szCs w:val="24"/>
        </w:rPr>
        <w:t>tão de Riscos (PGR) no âmbito da Fundação de Desporto e Lazer de Mato Grosso do Sul</w:t>
      </w:r>
      <w:r w:rsidRPr="00D477EC">
        <w:rPr>
          <w:rFonts w:asciiTheme="minorHAnsi" w:hAnsiTheme="minorHAnsi" w:cs="Calibri"/>
          <w:i/>
          <w:iCs/>
          <w:sz w:val="24"/>
          <w:szCs w:val="24"/>
        </w:rPr>
        <w:t xml:space="preserve">. </w:t>
      </w:r>
    </w:p>
    <w:p w14:paraId="34DD8C4C" w14:textId="77777777" w:rsidR="0012080A" w:rsidRPr="00D477EC" w:rsidRDefault="0012080A" w:rsidP="0012080A">
      <w:pPr>
        <w:spacing w:line="360" w:lineRule="auto"/>
        <w:jc w:val="both"/>
        <w:rPr>
          <w:rFonts w:asciiTheme="minorHAnsi" w:hAnsiTheme="minorHAnsi" w:cs="Calibri"/>
          <w:sz w:val="24"/>
          <w:szCs w:val="24"/>
        </w:rPr>
      </w:pPr>
    </w:p>
    <w:p w14:paraId="325C0BAA" w14:textId="42C78106" w:rsidR="0012080A" w:rsidRPr="00330F80" w:rsidRDefault="0012080A" w:rsidP="0012080A">
      <w:pPr>
        <w:spacing w:line="360" w:lineRule="auto"/>
        <w:jc w:val="both"/>
        <w:rPr>
          <w:rFonts w:asciiTheme="minorHAnsi" w:hAnsiTheme="minorHAnsi" w:cs="Calibri"/>
          <w:sz w:val="24"/>
          <w:szCs w:val="24"/>
        </w:rPr>
      </w:pPr>
      <w:r w:rsidRPr="00D477EC">
        <w:rPr>
          <w:rFonts w:asciiTheme="minorHAnsi" w:hAnsiTheme="minorHAnsi" w:cs="Calibri"/>
          <w:sz w:val="24"/>
          <w:szCs w:val="24"/>
        </w:rPr>
        <w:t xml:space="preserve">O Comitê Setorial de </w:t>
      </w:r>
      <w:r w:rsidRPr="00D477EC">
        <w:rPr>
          <w:rFonts w:asciiTheme="minorHAnsi" w:hAnsiTheme="minorHAnsi" w:cs="Calibri"/>
          <w:i/>
          <w:sz w:val="24"/>
          <w:szCs w:val="24"/>
        </w:rPr>
        <w:t>Compliance</w:t>
      </w:r>
      <w:r w:rsidRPr="00D477EC">
        <w:rPr>
          <w:rFonts w:asciiTheme="minorHAnsi" w:hAnsiTheme="minorHAnsi" w:cs="Calibri"/>
          <w:sz w:val="24"/>
          <w:szCs w:val="24"/>
        </w:rPr>
        <w:t xml:space="preserve"> do </w:t>
      </w:r>
      <w:r w:rsidR="007B1ED7" w:rsidRPr="00D477EC">
        <w:rPr>
          <w:rFonts w:asciiTheme="minorHAnsi" w:hAnsiTheme="minorHAnsi" w:cs="Calibri"/>
          <w:sz w:val="24"/>
          <w:szCs w:val="24"/>
        </w:rPr>
        <w:t>Fundação de Desporto e Lazer de Mato Grosso do Sul</w:t>
      </w:r>
      <w:r w:rsidRPr="00D477EC">
        <w:rPr>
          <w:rFonts w:asciiTheme="minorHAnsi" w:hAnsiTheme="minorHAnsi" w:cs="Calibri"/>
          <w:sz w:val="24"/>
          <w:szCs w:val="24"/>
        </w:rPr>
        <w:t xml:space="preserve">, no uso de suas atribuições, que lhes conferem a </w:t>
      </w:r>
      <w:r w:rsidR="007B1ED7" w:rsidRPr="00D477EC">
        <w:rPr>
          <w:rFonts w:asciiTheme="minorHAnsi" w:hAnsiTheme="minorHAnsi" w:cs="Calibri"/>
          <w:sz w:val="24"/>
          <w:szCs w:val="24"/>
        </w:rPr>
        <w:t xml:space="preserve">Portaria Normativa N° 001/2026 </w:t>
      </w:r>
      <w:r w:rsidRPr="00D477EC">
        <w:rPr>
          <w:rFonts w:asciiTheme="minorHAnsi" w:hAnsiTheme="minorHAnsi" w:cs="Calibri"/>
          <w:sz w:val="24"/>
          <w:szCs w:val="24"/>
        </w:rPr>
        <w:t xml:space="preserve">e tendo em vista a </w:t>
      </w:r>
      <w:r w:rsidR="007B1ED7" w:rsidRPr="00D477EC">
        <w:rPr>
          <w:rFonts w:asciiTheme="minorHAnsi" w:hAnsiTheme="minorHAnsi" w:cs="Calibri"/>
          <w:sz w:val="24"/>
          <w:szCs w:val="24"/>
        </w:rPr>
        <w:t>1</w:t>
      </w:r>
      <w:r w:rsidRPr="00D477EC">
        <w:rPr>
          <w:rFonts w:asciiTheme="minorHAnsi" w:hAnsiTheme="minorHAnsi" w:cs="Calibri"/>
          <w:sz w:val="24"/>
          <w:szCs w:val="24"/>
        </w:rPr>
        <w:t xml:space="preserve">ª Reunião Ordinária do corrente ano, realizada no </w:t>
      </w:r>
      <w:r w:rsidRPr="00330F80">
        <w:rPr>
          <w:rFonts w:asciiTheme="minorHAnsi" w:hAnsiTheme="minorHAnsi" w:cs="Calibri"/>
          <w:sz w:val="24"/>
          <w:szCs w:val="24"/>
        </w:rPr>
        <w:t xml:space="preserve">dia </w:t>
      </w:r>
      <w:r w:rsidR="00330F80" w:rsidRPr="00330F80">
        <w:rPr>
          <w:rFonts w:asciiTheme="minorHAnsi" w:hAnsiTheme="minorHAnsi" w:cs="Calibri"/>
          <w:sz w:val="24"/>
          <w:szCs w:val="24"/>
        </w:rPr>
        <w:t>12</w:t>
      </w:r>
      <w:r w:rsidRPr="00330F80">
        <w:rPr>
          <w:rFonts w:asciiTheme="minorHAnsi" w:hAnsiTheme="minorHAnsi" w:cs="Calibri"/>
          <w:sz w:val="24"/>
          <w:szCs w:val="24"/>
        </w:rPr>
        <w:t xml:space="preserve"> de </w:t>
      </w:r>
      <w:r w:rsidR="00330F80" w:rsidRPr="00330F80">
        <w:rPr>
          <w:rFonts w:asciiTheme="minorHAnsi" w:hAnsiTheme="minorHAnsi" w:cs="Calibri"/>
          <w:sz w:val="24"/>
          <w:szCs w:val="24"/>
        </w:rPr>
        <w:t>maio</w:t>
      </w:r>
      <w:r w:rsidRPr="00330F80">
        <w:rPr>
          <w:rFonts w:asciiTheme="minorHAnsi" w:hAnsiTheme="minorHAnsi" w:cs="Calibri"/>
          <w:sz w:val="24"/>
          <w:szCs w:val="24"/>
        </w:rPr>
        <w:t xml:space="preserve"> de 202</w:t>
      </w:r>
      <w:r w:rsidR="00914AF4" w:rsidRPr="00330F80">
        <w:rPr>
          <w:rFonts w:asciiTheme="minorHAnsi" w:hAnsiTheme="minorHAnsi" w:cs="Calibri"/>
          <w:sz w:val="24"/>
          <w:szCs w:val="24"/>
        </w:rPr>
        <w:t>6</w:t>
      </w:r>
      <w:r w:rsidRPr="00330F80">
        <w:rPr>
          <w:rFonts w:asciiTheme="minorHAnsi" w:hAnsiTheme="minorHAnsi" w:cs="Calibri"/>
          <w:sz w:val="24"/>
          <w:szCs w:val="24"/>
        </w:rPr>
        <w:t xml:space="preserve">, </w:t>
      </w:r>
    </w:p>
    <w:p w14:paraId="10383A40" w14:textId="77777777" w:rsidR="0012080A" w:rsidRPr="00D477EC" w:rsidRDefault="0012080A" w:rsidP="0012080A">
      <w:pPr>
        <w:spacing w:line="360" w:lineRule="auto"/>
        <w:jc w:val="both"/>
        <w:rPr>
          <w:rFonts w:asciiTheme="minorHAnsi" w:hAnsiTheme="minorHAnsi" w:cs="Calibri"/>
          <w:sz w:val="24"/>
          <w:szCs w:val="24"/>
        </w:rPr>
      </w:pPr>
    </w:p>
    <w:p w14:paraId="581F5349" w14:textId="6AB07A7A" w:rsidR="0012080A" w:rsidRPr="00D477EC" w:rsidRDefault="00924936" w:rsidP="0012080A">
      <w:pPr>
        <w:spacing w:line="360" w:lineRule="auto"/>
        <w:jc w:val="both"/>
        <w:rPr>
          <w:rFonts w:asciiTheme="minorHAnsi" w:hAnsiTheme="minorHAnsi" w:cs="Calibri"/>
          <w:sz w:val="24"/>
          <w:szCs w:val="24"/>
        </w:rPr>
      </w:pPr>
      <w:r w:rsidRPr="00D477EC">
        <w:rPr>
          <w:rFonts w:asciiTheme="minorHAnsi" w:hAnsiTheme="minorHAnsi" w:cs="Calibri"/>
          <w:sz w:val="24"/>
          <w:szCs w:val="24"/>
        </w:rPr>
        <w:t>DELIBERA</w:t>
      </w:r>
      <w:r w:rsidR="0012080A" w:rsidRPr="00D477EC">
        <w:rPr>
          <w:rFonts w:asciiTheme="minorHAnsi" w:hAnsiTheme="minorHAnsi" w:cs="Calibri"/>
          <w:sz w:val="24"/>
          <w:szCs w:val="24"/>
        </w:rPr>
        <w:t>:</w:t>
      </w:r>
    </w:p>
    <w:p w14:paraId="44CAED8A" w14:textId="77777777" w:rsidR="0012080A" w:rsidRPr="00D477EC" w:rsidRDefault="0012080A" w:rsidP="0012080A">
      <w:pPr>
        <w:spacing w:line="360" w:lineRule="auto"/>
        <w:jc w:val="both"/>
        <w:rPr>
          <w:rFonts w:asciiTheme="minorHAnsi" w:hAnsiTheme="minorHAnsi" w:cs="Calibri"/>
          <w:sz w:val="24"/>
          <w:szCs w:val="24"/>
        </w:rPr>
      </w:pPr>
    </w:p>
    <w:p w14:paraId="38078EB1" w14:textId="4079DF9E" w:rsidR="0012080A" w:rsidRPr="00D477EC" w:rsidRDefault="0012080A" w:rsidP="0012080A">
      <w:pPr>
        <w:spacing w:line="360" w:lineRule="auto"/>
        <w:jc w:val="both"/>
        <w:rPr>
          <w:rFonts w:asciiTheme="minorHAnsi" w:hAnsiTheme="minorHAnsi" w:cs="Calibri"/>
          <w:sz w:val="24"/>
          <w:szCs w:val="24"/>
        </w:rPr>
      </w:pPr>
      <w:r w:rsidRPr="00D477EC">
        <w:rPr>
          <w:rFonts w:asciiTheme="minorHAnsi" w:hAnsiTheme="minorHAnsi" w:cs="Calibri"/>
          <w:sz w:val="24"/>
          <w:szCs w:val="24"/>
        </w:rPr>
        <w:t>Art. 1º - Aprovar</w:t>
      </w:r>
      <w:r w:rsidR="00924936" w:rsidRPr="00D477EC">
        <w:rPr>
          <w:rFonts w:asciiTheme="minorHAnsi" w:hAnsiTheme="minorHAnsi" w:cs="Calibri"/>
          <w:sz w:val="24"/>
          <w:szCs w:val="24"/>
        </w:rPr>
        <w:t>, conforme anexo único desta Deliberação,</w:t>
      </w:r>
      <w:r w:rsidRPr="00D477EC">
        <w:rPr>
          <w:rFonts w:asciiTheme="minorHAnsi" w:hAnsiTheme="minorHAnsi" w:cs="Calibri"/>
          <w:sz w:val="24"/>
          <w:szCs w:val="24"/>
        </w:rPr>
        <w:t xml:space="preserve"> a Política de Gestão de Riscos d</w:t>
      </w:r>
      <w:r w:rsidR="007B1ED7" w:rsidRPr="00D477EC">
        <w:rPr>
          <w:rFonts w:asciiTheme="minorHAnsi" w:hAnsiTheme="minorHAnsi" w:cs="Calibri"/>
          <w:sz w:val="24"/>
          <w:szCs w:val="24"/>
        </w:rPr>
        <w:t>a</w:t>
      </w:r>
      <w:r w:rsidRPr="00D477EC">
        <w:rPr>
          <w:rFonts w:asciiTheme="minorHAnsi" w:hAnsiTheme="minorHAnsi" w:cs="Calibri"/>
          <w:sz w:val="24"/>
          <w:szCs w:val="24"/>
        </w:rPr>
        <w:t xml:space="preserve"> </w:t>
      </w:r>
      <w:r w:rsidR="007B1ED7" w:rsidRPr="00D477EC">
        <w:rPr>
          <w:rFonts w:asciiTheme="minorHAnsi" w:hAnsiTheme="minorHAnsi" w:cs="Calibri"/>
          <w:sz w:val="24"/>
          <w:szCs w:val="24"/>
        </w:rPr>
        <w:t>Fundação de Desporto e Lazer de Mato Grosso do Sul</w:t>
      </w:r>
      <w:r w:rsidRPr="00D477EC">
        <w:rPr>
          <w:rFonts w:asciiTheme="minorHAnsi" w:hAnsiTheme="minorHAnsi" w:cs="Calibri"/>
          <w:sz w:val="24"/>
          <w:szCs w:val="24"/>
        </w:rPr>
        <w:t xml:space="preserve">. </w:t>
      </w:r>
    </w:p>
    <w:p w14:paraId="14F9E1B0" w14:textId="77777777" w:rsidR="0012080A" w:rsidRPr="00D477EC" w:rsidRDefault="0012080A" w:rsidP="0012080A">
      <w:pPr>
        <w:spacing w:line="360" w:lineRule="auto"/>
        <w:jc w:val="both"/>
        <w:rPr>
          <w:rFonts w:asciiTheme="minorHAnsi" w:hAnsiTheme="minorHAnsi" w:cs="Calibri"/>
          <w:sz w:val="24"/>
          <w:szCs w:val="24"/>
        </w:rPr>
      </w:pPr>
      <w:r w:rsidRPr="00D477EC">
        <w:rPr>
          <w:rFonts w:asciiTheme="minorHAnsi" w:hAnsiTheme="minorHAnsi" w:cs="Calibri"/>
          <w:sz w:val="24"/>
          <w:szCs w:val="24"/>
        </w:rPr>
        <w:t xml:space="preserve">Art. 2º Esta Deliberação entra em vigor na data de sua publicação. </w:t>
      </w:r>
    </w:p>
    <w:p w14:paraId="189476FE" w14:textId="6865F11F" w:rsidR="0012080A" w:rsidRPr="00D477EC" w:rsidRDefault="0012080A" w:rsidP="0012080A">
      <w:pPr>
        <w:spacing w:line="360" w:lineRule="auto"/>
        <w:jc w:val="both"/>
        <w:rPr>
          <w:rFonts w:asciiTheme="minorHAnsi" w:hAnsiTheme="minorHAnsi" w:cs="Calibri"/>
          <w:sz w:val="24"/>
          <w:szCs w:val="24"/>
        </w:rPr>
      </w:pPr>
      <w:r w:rsidRPr="00D477EC">
        <w:rPr>
          <w:rFonts w:asciiTheme="minorHAnsi" w:hAnsiTheme="minorHAnsi" w:cs="Calibri"/>
          <w:sz w:val="24"/>
          <w:szCs w:val="24"/>
        </w:rPr>
        <w:t xml:space="preserve">Campo Grande, </w:t>
      </w:r>
      <w:r w:rsidR="00330F80">
        <w:rPr>
          <w:rFonts w:asciiTheme="minorHAnsi" w:hAnsiTheme="minorHAnsi" w:cs="Calibri"/>
          <w:sz w:val="24"/>
          <w:szCs w:val="24"/>
        </w:rPr>
        <w:t>12</w:t>
      </w:r>
      <w:r w:rsidRPr="00D477EC">
        <w:rPr>
          <w:rFonts w:asciiTheme="minorHAnsi" w:hAnsiTheme="minorHAnsi" w:cs="Calibri"/>
          <w:sz w:val="24"/>
          <w:szCs w:val="24"/>
        </w:rPr>
        <w:t xml:space="preserve"> de </w:t>
      </w:r>
      <w:r w:rsidR="004E5C79">
        <w:rPr>
          <w:rFonts w:asciiTheme="minorHAnsi" w:hAnsiTheme="minorHAnsi" w:cs="Calibri"/>
          <w:sz w:val="24"/>
          <w:szCs w:val="24"/>
        </w:rPr>
        <w:t>maio</w:t>
      </w:r>
      <w:r w:rsidRPr="00D477EC">
        <w:rPr>
          <w:rFonts w:asciiTheme="minorHAnsi" w:hAnsiTheme="minorHAnsi" w:cs="Calibri"/>
          <w:sz w:val="24"/>
          <w:szCs w:val="24"/>
        </w:rPr>
        <w:t xml:space="preserve"> de 202</w:t>
      </w:r>
      <w:r w:rsidR="007B1ED7" w:rsidRPr="00D477EC">
        <w:rPr>
          <w:rFonts w:asciiTheme="minorHAnsi" w:hAnsiTheme="minorHAnsi" w:cs="Calibri"/>
          <w:sz w:val="24"/>
          <w:szCs w:val="24"/>
        </w:rPr>
        <w:t>6</w:t>
      </w:r>
      <w:r w:rsidRPr="00D477EC">
        <w:rPr>
          <w:rFonts w:asciiTheme="minorHAnsi" w:hAnsiTheme="minorHAnsi" w:cs="Calibri"/>
          <w:sz w:val="24"/>
          <w:szCs w:val="24"/>
        </w:rPr>
        <w:t>.</w:t>
      </w:r>
    </w:p>
    <w:p w14:paraId="106DB8FB" w14:textId="77777777" w:rsidR="003635D3" w:rsidRPr="00D477EC" w:rsidRDefault="003635D3" w:rsidP="0012080A">
      <w:pPr>
        <w:spacing w:line="360" w:lineRule="auto"/>
        <w:jc w:val="both"/>
        <w:rPr>
          <w:rFonts w:asciiTheme="minorHAnsi" w:hAnsiTheme="minorHAnsi" w:cs="Calibri"/>
          <w:sz w:val="24"/>
          <w:szCs w:val="24"/>
        </w:rPr>
      </w:pPr>
    </w:p>
    <w:p w14:paraId="77691259" w14:textId="1DEE7202" w:rsidR="0012080A" w:rsidRPr="00D477EC" w:rsidRDefault="007B1ED7" w:rsidP="001B70CE">
      <w:pPr>
        <w:spacing w:line="360" w:lineRule="auto"/>
        <w:jc w:val="center"/>
        <w:rPr>
          <w:rFonts w:asciiTheme="minorHAnsi" w:hAnsiTheme="minorHAnsi" w:cs="Calibri"/>
          <w:sz w:val="24"/>
          <w:szCs w:val="24"/>
        </w:rPr>
      </w:pPr>
      <w:r w:rsidRPr="00D477EC">
        <w:rPr>
          <w:rFonts w:asciiTheme="minorHAnsi" w:hAnsiTheme="minorHAnsi" w:cs="Calibri"/>
          <w:sz w:val="24"/>
          <w:szCs w:val="24"/>
        </w:rPr>
        <w:t>PAULO RICARDO MARTINS NUNEZ</w:t>
      </w:r>
    </w:p>
    <w:p w14:paraId="675D3CB1" w14:textId="1D98656C" w:rsidR="003635D3" w:rsidRPr="00D477EC" w:rsidRDefault="0012080A" w:rsidP="001B70CE">
      <w:pPr>
        <w:spacing w:line="360" w:lineRule="auto"/>
        <w:jc w:val="center"/>
        <w:rPr>
          <w:rFonts w:asciiTheme="minorHAnsi" w:hAnsiTheme="minorHAnsi" w:cs="Calibri"/>
          <w:sz w:val="24"/>
          <w:szCs w:val="24"/>
        </w:rPr>
      </w:pPr>
      <w:r w:rsidRPr="00D477EC">
        <w:rPr>
          <w:rFonts w:asciiTheme="minorHAnsi" w:hAnsiTheme="minorHAnsi" w:cs="Calibri"/>
          <w:sz w:val="24"/>
          <w:szCs w:val="24"/>
        </w:rPr>
        <w:t xml:space="preserve">Presidente do Comitê Setorial de Compliance do (a) </w:t>
      </w:r>
      <w:r w:rsidR="007B1ED7" w:rsidRPr="00D477EC">
        <w:rPr>
          <w:rFonts w:asciiTheme="minorHAnsi" w:hAnsiTheme="minorHAnsi" w:cs="Calibri"/>
          <w:sz w:val="24"/>
          <w:szCs w:val="24"/>
        </w:rPr>
        <w:t>Fundação de Desporto e Lazer de Mato Grosso do Sul</w:t>
      </w:r>
    </w:p>
    <w:p w14:paraId="188C8E1D" w14:textId="77777777" w:rsidR="003635D3" w:rsidRPr="00D477EC" w:rsidRDefault="003635D3" w:rsidP="001B70CE">
      <w:pPr>
        <w:spacing w:line="360" w:lineRule="auto"/>
        <w:jc w:val="center"/>
        <w:rPr>
          <w:rFonts w:asciiTheme="minorHAnsi" w:hAnsiTheme="minorHAnsi" w:cs="Calibri"/>
          <w:sz w:val="24"/>
          <w:szCs w:val="24"/>
        </w:rPr>
      </w:pPr>
    </w:p>
    <w:p w14:paraId="3A1291A7" w14:textId="6CFA55EB" w:rsidR="003635D3" w:rsidRPr="00D477EC" w:rsidRDefault="007B1ED7" w:rsidP="003635D3">
      <w:pPr>
        <w:spacing w:line="360" w:lineRule="auto"/>
        <w:jc w:val="center"/>
        <w:rPr>
          <w:rFonts w:asciiTheme="minorHAnsi" w:hAnsiTheme="minorHAnsi" w:cs="Calibri"/>
          <w:sz w:val="24"/>
          <w:szCs w:val="24"/>
        </w:rPr>
      </w:pPr>
      <w:r w:rsidRPr="00D477EC">
        <w:rPr>
          <w:rFonts w:asciiTheme="minorHAnsi" w:hAnsiTheme="minorHAnsi" w:cs="Calibri"/>
          <w:sz w:val="24"/>
          <w:szCs w:val="24"/>
        </w:rPr>
        <w:t>LUCIANO MORAIS AGI</w:t>
      </w:r>
    </w:p>
    <w:p w14:paraId="7ACD8920" w14:textId="690E8164" w:rsidR="003635D3" w:rsidRPr="00D477EC" w:rsidRDefault="003635D3" w:rsidP="003635D3">
      <w:pPr>
        <w:spacing w:line="360" w:lineRule="auto"/>
        <w:jc w:val="center"/>
        <w:rPr>
          <w:rFonts w:asciiTheme="minorHAnsi" w:hAnsiTheme="minorHAnsi" w:cs="Calibri"/>
          <w:sz w:val="24"/>
          <w:szCs w:val="24"/>
        </w:rPr>
      </w:pPr>
      <w:r w:rsidRPr="00D477EC">
        <w:rPr>
          <w:rFonts w:asciiTheme="minorHAnsi" w:hAnsiTheme="minorHAnsi" w:cs="Calibri"/>
          <w:sz w:val="24"/>
          <w:szCs w:val="24"/>
        </w:rPr>
        <w:t xml:space="preserve">Membro do Comitê Setorial de Compliance do (a) </w:t>
      </w:r>
      <w:r w:rsidR="007B1ED7" w:rsidRPr="00D477EC">
        <w:rPr>
          <w:rFonts w:asciiTheme="minorHAnsi" w:hAnsiTheme="minorHAnsi" w:cs="Calibri"/>
          <w:sz w:val="24"/>
          <w:szCs w:val="24"/>
        </w:rPr>
        <w:t>Fundação de Desporto e Lazer de Mato Grosso do Sul</w:t>
      </w:r>
    </w:p>
    <w:p w14:paraId="72C57B56" w14:textId="1D197BE5" w:rsidR="003635D3" w:rsidRPr="00D477EC" w:rsidRDefault="003635D3" w:rsidP="003635D3">
      <w:pPr>
        <w:spacing w:line="360" w:lineRule="auto"/>
        <w:jc w:val="center"/>
        <w:rPr>
          <w:rFonts w:asciiTheme="minorHAnsi" w:hAnsiTheme="minorHAnsi" w:cs="Calibri"/>
          <w:sz w:val="24"/>
          <w:szCs w:val="24"/>
        </w:rPr>
      </w:pPr>
    </w:p>
    <w:p w14:paraId="3BB519E4" w14:textId="77777777" w:rsidR="007B1ED7" w:rsidRPr="00D477EC" w:rsidRDefault="007B1ED7" w:rsidP="003635D3">
      <w:pPr>
        <w:spacing w:line="360" w:lineRule="auto"/>
        <w:jc w:val="center"/>
        <w:rPr>
          <w:rFonts w:asciiTheme="minorHAnsi" w:hAnsiTheme="minorHAnsi" w:cs="Calibri"/>
          <w:sz w:val="24"/>
          <w:szCs w:val="24"/>
        </w:rPr>
      </w:pPr>
      <w:r w:rsidRPr="00D477EC">
        <w:rPr>
          <w:rFonts w:asciiTheme="minorHAnsi" w:hAnsiTheme="minorHAnsi" w:cs="Calibri"/>
          <w:sz w:val="24"/>
          <w:szCs w:val="24"/>
        </w:rPr>
        <w:t xml:space="preserve">LEANDRO GONCALVES VARGAS DA FONSECA </w:t>
      </w:r>
    </w:p>
    <w:p w14:paraId="75B2B829" w14:textId="3C524886" w:rsidR="003635D3" w:rsidRPr="00D477EC" w:rsidRDefault="003635D3" w:rsidP="003635D3">
      <w:pPr>
        <w:spacing w:line="360" w:lineRule="auto"/>
        <w:jc w:val="center"/>
        <w:rPr>
          <w:rFonts w:asciiTheme="minorHAnsi" w:hAnsiTheme="minorHAnsi" w:cs="Calibri"/>
          <w:sz w:val="24"/>
          <w:szCs w:val="24"/>
        </w:rPr>
      </w:pPr>
      <w:r w:rsidRPr="00D477EC">
        <w:rPr>
          <w:rFonts w:asciiTheme="minorHAnsi" w:hAnsiTheme="minorHAnsi" w:cs="Calibri"/>
          <w:sz w:val="24"/>
          <w:szCs w:val="24"/>
        </w:rPr>
        <w:t xml:space="preserve">Membro do Comitê Setorial de Compliance do (a) </w:t>
      </w:r>
      <w:r w:rsidR="007B1ED7" w:rsidRPr="00D477EC">
        <w:rPr>
          <w:rFonts w:asciiTheme="minorHAnsi" w:hAnsiTheme="minorHAnsi" w:cs="Calibri"/>
          <w:sz w:val="24"/>
          <w:szCs w:val="24"/>
        </w:rPr>
        <w:t>Fundação de Desporto e Lazer de Mato Grosso do Sul</w:t>
      </w:r>
    </w:p>
    <w:p w14:paraId="038D0A09" w14:textId="77777777" w:rsidR="003635D3" w:rsidRPr="00D477EC" w:rsidRDefault="003635D3" w:rsidP="001B70CE">
      <w:pPr>
        <w:spacing w:line="360" w:lineRule="auto"/>
        <w:jc w:val="center"/>
        <w:rPr>
          <w:rFonts w:asciiTheme="minorHAnsi" w:hAnsiTheme="minorHAnsi" w:cs="Calibri"/>
          <w:sz w:val="24"/>
          <w:szCs w:val="24"/>
        </w:rPr>
      </w:pPr>
    </w:p>
    <w:p w14:paraId="3BF04972" w14:textId="77777777" w:rsidR="007B1ED7" w:rsidRPr="00D477EC" w:rsidRDefault="007B1ED7" w:rsidP="001B70CE">
      <w:pPr>
        <w:spacing w:line="360" w:lineRule="auto"/>
        <w:jc w:val="center"/>
        <w:rPr>
          <w:rFonts w:asciiTheme="minorHAnsi" w:hAnsiTheme="minorHAnsi" w:cs="Calibri"/>
          <w:sz w:val="24"/>
          <w:szCs w:val="24"/>
        </w:rPr>
      </w:pPr>
      <w:r w:rsidRPr="00D477EC">
        <w:rPr>
          <w:rFonts w:asciiTheme="minorHAnsi" w:hAnsiTheme="minorHAnsi" w:cs="Calibri"/>
          <w:sz w:val="24"/>
          <w:szCs w:val="24"/>
        </w:rPr>
        <w:t xml:space="preserve">DIOGO DA MOTTA JARDIM </w:t>
      </w:r>
    </w:p>
    <w:p w14:paraId="7AE38501" w14:textId="70BDC9B6" w:rsidR="003635D3" w:rsidRPr="00D477EC" w:rsidRDefault="003635D3" w:rsidP="001B70CE">
      <w:pPr>
        <w:spacing w:line="360" w:lineRule="auto"/>
        <w:jc w:val="center"/>
        <w:rPr>
          <w:rFonts w:asciiTheme="minorHAnsi" w:hAnsiTheme="minorHAnsi" w:cs="Calibri"/>
          <w:sz w:val="24"/>
          <w:szCs w:val="24"/>
        </w:rPr>
      </w:pPr>
      <w:r w:rsidRPr="00D477EC">
        <w:rPr>
          <w:rFonts w:asciiTheme="minorHAnsi" w:hAnsiTheme="minorHAnsi" w:cs="Calibri"/>
          <w:sz w:val="24"/>
          <w:szCs w:val="24"/>
        </w:rPr>
        <w:lastRenderedPageBreak/>
        <w:t xml:space="preserve">Membro do Comitê Setorial de Compliance do (a) </w:t>
      </w:r>
      <w:r w:rsidR="007B1ED7" w:rsidRPr="00D477EC">
        <w:rPr>
          <w:rFonts w:asciiTheme="minorHAnsi" w:hAnsiTheme="minorHAnsi" w:cs="Calibri"/>
          <w:sz w:val="24"/>
          <w:szCs w:val="24"/>
        </w:rPr>
        <w:t>Fundação de Desporto e Lazer de Mato Grosso do Sul</w:t>
      </w:r>
    </w:p>
    <w:p w14:paraId="59F7DC07" w14:textId="17882D1C" w:rsidR="001B70CE" w:rsidRPr="00D477EC" w:rsidRDefault="001B70CE" w:rsidP="0012080A">
      <w:pPr>
        <w:spacing w:line="360" w:lineRule="auto"/>
        <w:jc w:val="both"/>
        <w:rPr>
          <w:rFonts w:asciiTheme="minorHAnsi" w:hAnsiTheme="minorHAnsi" w:cs="Calibri"/>
          <w:sz w:val="24"/>
          <w:szCs w:val="24"/>
        </w:rPr>
      </w:pPr>
    </w:p>
    <w:p w14:paraId="17850F1B" w14:textId="77777777" w:rsidR="007B1ED7" w:rsidRPr="00D477EC" w:rsidRDefault="007B1ED7" w:rsidP="007B1ED7">
      <w:pPr>
        <w:spacing w:line="360" w:lineRule="auto"/>
        <w:jc w:val="center"/>
        <w:rPr>
          <w:rFonts w:asciiTheme="minorHAnsi" w:hAnsiTheme="minorHAnsi" w:cs="Calibri"/>
          <w:sz w:val="24"/>
          <w:szCs w:val="24"/>
        </w:rPr>
      </w:pPr>
      <w:r w:rsidRPr="00D477EC">
        <w:rPr>
          <w:rFonts w:asciiTheme="minorHAnsi" w:hAnsiTheme="minorHAnsi" w:cs="Calibri"/>
          <w:sz w:val="24"/>
          <w:szCs w:val="24"/>
        </w:rPr>
        <w:t>CARLOS ALBERTO NABHAN DE BARROS</w:t>
      </w:r>
    </w:p>
    <w:p w14:paraId="5E373BF3" w14:textId="126DC0AB" w:rsidR="003635D3" w:rsidRPr="00D477EC" w:rsidRDefault="003635D3" w:rsidP="007B1ED7">
      <w:pPr>
        <w:spacing w:line="360" w:lineRule="auto"/>
        <w:jc w:val="center"/>
        <w:rPr>
          <w:rFonts w:asciiTheme="minorHAnsi" w:hAnsiTheme="minorHAnsi" w:cs="Calibri"/>
          <w:sz w:val="24"/>
          <w:szCs w:val="24"/>
        </w:rPr>
      </w:pPr>
      <w:r w:rsidRPr="00D477EC">
        <w:rPr>
          <w:rFonts w:asciiTheme="minorHAnsi" w:hAnsiTheme="minorHAnsi" w:cs="Calibri"/>
          <w:sz w:val="24"/>
          <w:szCs w:val="24"/>
        </w:rPr>
        <w:t xml:space="preserve">Membro do Comitê Setorial de Compliance do (a) </w:t>
      </w:r>
      <w:r w:rsidR="007B1ED7" w:rsidRPr="00D477EC">
        <w:rPr>
          <w:rFonts w:asciiTheme="minorHAnsi" w:hAnsiTheme="minorHAnsi" w:cs="Calibri"/>
          <w:sz w:val="24"/>
          <w:szCs w:val="24"/>
        </w:rPr>
        <w:t>Fundação de Desporto e Lazer de Mato Grosso do Sul</w:t>
      </w:r>
    </w:p>
    <w:p w14:paraId="6548F827" w14:textId="5226A161" w:rsidR="007B1ED7" w:rsidRPr="00D477EC" w:rsidRDefault="007B1ED7" w:rsidP="007B1ED7">
      <w:pPr>
        <w:spacing w:line="360" w:lineRule="auto"/>
        <w:jc w:val="center"/>
        <w:rPr>
          <w:rFonts w:asciiTheme="minorHAnsi" w:hAnsiTheme="minorHAnsi" w:cs="Calibri"/>
          <w:sz w:val="24"/>
          <w:szCs w:val="24"/>
        </w:rPr>
      </w:pPr>
    </w:p>
    <w:p w14:paraId="31B9E59F" w14:textId="77777777" w:rsidR="007B1ED7" w:rsidRPr="00D477EC" w:rsidRDefault="007B1ED7" w:rsidP="007B1ED7">
      <w:pPr>
        <w:spacing w:line="360" w:lineRule="auto"/>
        <w:jc w:val="center"/>
        <w:rPr>
          <w:rFonts w:asciiTheme="minorHAnsi" w:hAnsiTheme="minorHAnsi" w:cs="Calibri"/>
          <w:sz w:val="24"/>
          <w:szCs w:val="24"/>
        </w:rPr>
      </w:pPr>
      <w:r w:rsidRPr="00D477EC">
        <w:rPr>
          <w:rFonts w:asciiTheme="minorHAnsi" w:hAnsiTheme="minorHAnsi" w:cs="Calibri"/>
          <w:sz w:val="24"/>
          <w:szCs w:val="24"/>
        </w:rPr>
        <w:t>KARINA LUIZ PEREIRA QUAINI</w:t>
      </w:r>
    </w:p>
    <w:p w14:paraId="41576A74" w14:textId="7CA1E721" w:rsidR="007B1ED7" w:rsidRPr="00D477EC" w:rsidRDefault="007B1ED7" w:rsidP="007B1ED7">
      <w:pPr>
        <w:spacing w:line="360" w:lineRule="auto"/>
        <w:jc w:val="center"/>
        <w:rPr>
          <w:rFonts w:asciiTheme="minorHAnsi" w:hAnsiTheme="minorHAnsi" w:cs="Calibri"/>
          <w:sz w:val="24"/>
          <w:szCs w:val="24"/>
        </w:rPr>
      </w:pPr>
      <w:r w:rsidRPr="00D477EC">
        <w:rPr>
          <w:rFonts w:asciiTheme="minorHAnsi" w:hAnsiTheme="minorHAnsi" w:cs="Calibri"/>
          <w:sz w:val="24"/>
          <w:szCs w:val="24"/>
        </w:rPr>
        <w:t>Membro do Comitê Setorial de Compliance do (a) Fundação de Desporto e Lazer de Mato Grosso do Sul</w:t>
      </w:r>
    </w:p>
    <w:p w14:paraId="06603C8A" w14:textId="77777777" w:rsidR="007B1ED7" w:rsidRPr="00D477EC" w:rsidRDefault="007B1ED7" w:rsidP="00836CCA">
      <w:pPr>
        <w:spacing w:line="360" w:lineRule="auto"/>
        <w:rPr>
          <w:rFonts w:asciiTheme="minorHAnsi" w:hAnsiTheme="minorHAnsi" w:cs="Calibri"/>
          <w:sz w:val="24"/>
          <w:szCs w:val="24"/>
        </w:rPr>
      </w:pPr>
    </w:p>
    <w:p w14:paraId="707BE414" w14:textId="4B939D9E" w:rsidR="007B1ED7" w:rsidRPr="00D477EC" w:rsidRDefault="007B1ED7" w:rsidP="007B1ED7">
      <w:pPr>
        <w:spacing w:line="360" w:lineRule="auto"/>
        <w:jc w:val="center"/>
        <w:rPr>
          <w:rFonts w:asciiTheme="minorHAnsi" w:hAnsiTheme="minorHAnsi" w:cs="Calibri"/>
          <w:sz w:val="24"/>
          <w:szCs w:val="24"/>
        </w:rPr>
      </w:pPr>
      <w:r w:rsidRPr="00D477EC">
        <w:rPr>
          <w:rFonts w:asciiTheme="minorHAnsi" w:hAnsiTheme="minorHAnsi" w:cs="Calibri"/>
          <w:sz w:val="24"/>
          <w:szCs w:val="24"/>
        </w:rPr>
        <w:t>FABIANE DE OLIVEIRA MACEDO</w:t>
      </w:r>
    </w:p>
    <w:p w14:paraId="5A39AE8D" w14:textId="77777777" w:rsidR="007B1ED7" w:rsidRPr="00D477EC" w:rsidRDefault="007B1ED7" w:rsidP="007B1ED7">
      <w:pPr>
        <w:spacing w:line="360" w:lineRule="auto"/>
        <w:jc w:val="center"/>
        <w:rPr>
          <w:rFonts w:asciiTheme="minorHAnsi" w:hAnsiTheme="minorHAnsi" w:cs="Calibri"/>
          <w:sz w:val="24"/>
          <w:szCs w:val="24"/>
        </w:rPr>
      </w:pPr>
      <w:r w:rsidRPr="00D477EC">
        <w:rPr>
          <w:rFonts w:asciiTheme="minorHAnsi" w:hAnsiTheme="minorHAnsi" w:cs="Calibri"/>
          <w:sz w:val="24"/>
          <w:szCs w:val="24"/>
        </w:rPr>
        <w:t>Membro do Comitê Setorial de Compliance do (a) Fundação de Desporto e Lazer de Mato Grosso do Sul</w:t>
      </w:r>
    </w:p>
    <w:p w14:paraId="79129DB9" w14:textId="77777777" w:rsidR="007B1ED7" w:rsidRPr="00D477EC" w:rsidRDefault="007B1ED7" w:rsidP="007B1ED7">
      <w:pPr>
        <w:spacing w:line="360" w:lineRule="auto"/>
        <w:jc w:val="center"/>
        <w:rPr>
          <w:rFonts w:asciiTheme="minorHAnsi" w:hAnsiTheme="minorHAnsi" w:cs="Calibri"/>
          <w:sz w:val="24"/>
          <w:szCs w:val="24"/>
        </w:rPr>
      </w:pPr>
    </w:p>
    <w:p w14:paraId="2F09E446" w14:textId="77777777" w:rsidR="007B1ED7" w:rsidRPr="00D477EC" w:rsidRDefault="007B1ED7" w:rsidP="007B1ED7">
      <w:pPr>
        <w:spacing w:line="360" w:lineRule="auto"/>
        <w:jc w:val="center"/>
        <w:rPr>
          <w:rFonts w:asciiTheme="minorHAnsi" w:hAnsiTheme="minorHAnsi" w:cs="Calibri"/>
          <w:sz w:val="24"/>
          <w:szCs w:val="24"/>
        </w:rPr>
      </w:pPr>
    </w:p>
    <w:p w14:paraId="0EC4F4F1" w14:textId="34F5740E" w:rsidR="003635D3" w:rsidRPr="00D477EC" w:rsidRDefault="003635D3" w:rsidP="0012080A">
      <w:pPr>
        <w:spacing w:line="360" w:lineRule="auto"/>
        <w:jc w:val="both"/>
        <w:rPr>
          <w:rFonts w:asciiTheme="minorHAnsi" w:hAnsiTheme="minorHAnsi" w:cs="Calibri"/>
          <w:sz w:val="24"/>
          <w:szCs w:val="24"/>
        </w:rPr>
      </w:pPr>
    </w:p>
    <w:p w14:paraId="46B165E4" w14:textId="06C7CD3E" w:rsidR="001B70CE" w:rsidRPr="00D477EC" w:rsidRDefault="001B70CE" w:rsidP="001B70CE">
      <w:pPr>
        <w:spacing w:line="360" w:lineRule="auto"/>
        <w:jc w:val="center"/>
        <w:rPr>
          <w:rFonts w:asciiTheme="minorHAnsi" w:hAnsiTheme="minorHAnsi" w:cs="Calibri"/>
          <w:iCs/>
          <w:sz w:val="24"/>
          <w:szCs w:val="24"/>
        </w:rPr>
      </w:pPr>
      <w:r w:rsidRPr="00D477EC">
        <w:rPr>
          <w:rFonts w:asciiTheme="minorHAnsi" w:hAnsiTheme="minorHAnsi" w:cs="Calibri"/>
          <w:iCs/>
          <w:sz w:val="24"/>
          <w:szCs w:val="24"/>
        </w:rPr>
        <w:t xml:space="preserve">ANEXO ÚNICO DA </w:t>
      </w:r>
      <w:r w:rsidRPr="00D477EC">
        <w:rPr>
          <w:rFonts w:asciiTheme="minorHAnsi" w:hAnsiTheme="minorHAnsi" w:cs="Calibri"/>
          <w:sz w:val="24"/>
          <w:szCs w:val="24"/>
        </w:rPr>
        <w:t>DELIBERAÇÃO CSC/</w:t>
      </w:r>
      <w:r w:rsidR="007B1ED7" w:rsidRPr="00D477EC">
        <w:rPr>
          <w:rFonts w:asciiTheme="minorHAnsi" w:hAnsiTheme="minorHAnsi" w:cs="Calibri"/>
          <w:sz w:val="24"/>
          <w:szCs w:val="24"/>
        </w:rPr>
        <w:t>Fundesporte</w:t>
      </w:r>
      <w:r w:rsidRPr="00D477EC">
        <w:rPr>
          <w:rFonts w:asciiTheme="minorHAnsi" w:hAnsiTheme="minorHAnsi" w:cs="Calibri"/>
          <w:sz w:val="24"/>
          <w:szCs w:val="24"/>
        </w:rPr>
        <w:t xml:space="preserve"> N</w:t>
      </w:r>
      <w:r w:rsidRPr="00D477EC">
        <w:rPr>
          <w:rFonts w:asciiTheme="minorHAnsi" w:hAnsiTheme="minorHAnsi" w:cs="Calibri"/>
          <w:sz w:val="24"/>
          <w:szCs w:val="24"/>
          <w:vertAlign w:val="superscript"/>
        </w:rPr>
        <w:t>o</w:t>
      </w:r>
      <w:r w:rsidRPr="00D477EC">
        <w:rPr>
          <w:rFonts w:asciiTheme="minorHAnsi" w:hAnsiTheme="minorHAnsi" w:cs="Calibri"/>
          <w:sz w:val="24"/>
          <w:szCs w:val="24"/>
        </w:rPr>
        <w:t xml:space="preserve"> </w:t>
      </w:r>
      <w:r w:rsidR="00914AF4" w:rsidRPr="00D477EC">
        <w:rPr>
          <w:rFonts w:asciiTheme="minorHAnsi" w:hAnsiTheme="minorHAnsi" w:cs="Calibri"/>
          <w:sz w:val="24"/>
          <w:szCs w:val="24"/>
        </w:rPr>
        <w:t>001</w:t>
      </w:r>
      <w:r w:rsidRPr="00D477EC">
        <w:rPr>
          <w:rFonts w:asciiTheme="minorHAnsi" w:hAnsiTheme="minorHAnsi" w:cs="Calibri"/>
          <w:sz w:val="24"/>
          <w:szCs w:val="24"/>
        </w:rPr>
        <w:t>,</w:t>
      </w:r>
      <w:r w:rsidR="004E5C79">
        <w:rPr>
          <w:rFonts w:asciiTheme="minorHAnsi" w:hAnsiTheme="minorHAnsi" w:cs="Calibri"/>
          <w:sz w:val="24"/>
          <w:szCs w:val="24"/>
        </w:rPr>
        <w:t xml:space="preserve"> DE</w:t>
      </w:r>
      <w:r w:rsidRPr="00D477EC">
        <w:rPr>
          <w:rFonts w:asciiTheme="minorHAnsi" w:hAnsiTheme="minorHAnsi" w:cs="Calibri"/>
          <w:sz w:val="24"/>
          <w:szCs w:val="24"/>
        </w:rPr>
        <w:t xml:space="preserve"> </w:t>
      </w:r>
      <w:r w:rsidR="004E5C79">
        <w:rPr>
          <w:rFonts w:asciiTheme="minorHAnsi" w:hAnsiTheme="minorHAnsi" w:cs="Calibri"/>
          <w:sz w:val="24"/>
          <w:szCs w:val="24"/>
        </w:rPr>
        <w:t xml:space="preserve">7 DE </w:t>
      </w:r>
      <w:r w:rsidRPr="00D477EC">
        <w:rPr>
          <w:rFonts w:asciiTheme="minorHAnsi" w:hAnsiTheme="minorHAnsi" w:cs="Calibri"/>
          <w:sz w:val="24"/>
          <w:szCs w:val="24"/>
        </w:rPr>
        <w:t xml:space="preserve"> </w:t>
      </w:r>
      <w:r w:rsidR="004E5C79">
        <w:rPr>
          <w:rFonts w:asciiTheme="minorHAnsi" w:hAnsiTheme="minorHAnsi" w:cs="Calibri"/>
          <w:sz w:val="24"/>
          <w:szCs w:val="24"/>
        </w:rPr>
        <w:t>MAIO</w:t>
      </w:r>
      <w:r w:rsidRPr="00D477EC">
        <w:rPr>
          <w:rFonts w:asciiTheme="minorHAnsi" w:hAnsiTheme="minorHAnsi" w:cs="Calibri"/>
          <w:sz w:val="24"/>
          <w:szCs w:val="24"/>
        </w:rPr>
        <w:t xml:space="preserve"> DE 202</w:t>
      </w:r>
      <w:r w:rsidR="00A55760" w:rsidRPr="00D477EC">
        <w:rPr>
          <w:rFonts w:asciiTheme="minorHAnsi" w:hAnsiTheme="minorHAnsi" w:cs="Calibri"/>
          <w:sz w:val="24"/>
          <w:szCs w:val="24"/>
        </w:rPr>
        <w:t>6.</w:t>
      </w:r>
    </w:p>
    <w:p w14:paraId="70B95F22" w14:textId="0036AEBF" w:rsidR="00743F63" w:rsidRPr="00D477EC" w:rsidRDefault="001B70CE" w:rsidP="001B70CE">
      <w:pPr>
        <w:spacing w:line="240" w:lineRule="auto"/>
        <w:jc w:val="center"/>
        <w:rPr>
          <w:rFonts w:asciiTheme="minorHAnsi" w:hAnsiTheme="minorHAnsi" w:cstheme="minorHAnsi"/>
          <w:sz w:val="24"/>
          <w:szCs w:val="24"/>
        </w:rPr>
        <w:sectPr w:rsidR="00743F63" w:rsidRPr="00D477EC">
          <w:pgSz w:w="11900" w:h="16820"/>
          <w:pgMar w:top="1396" w:right="1640" w:bottom="1555" w:left="1698" w:header="0" w:footer="720" w:gutter="0"/>
          <w:pgNumType w:start="1"/>
          <w:cols w:space="720"/>
        </w:sectPr>
      </w:pPr>
      <w:r w:rsidRPr="00D477EC">
        <w:rPr>
          <w:rFonts w:asciiTheme="minorHAnsi" w:hAnsiTheme="minorHAnsi" w:cstheme="minorHAnsi"/>
          <w:b/>
          <w:sz w:val="24"/>
          <w:szCs w:val="24"/>
        </w:rPr>
        <w:t>Link:</w:t>
      </w:r>
      <w:r w:rsidRPr="00D477EC">
        <w:rPr>
          <w:rFonts w:asciiTheme="minorHAnsi" w:hAnsiTheme="minorHAnsi" w:cstheme="minorHAnsi"/>
          <w:sz w:val="24"/>
          <w:szCs w:val="24"/>
        </w:rPr>
        <w:t xml:space="preserve"> </w:t>
      </w:r>
      <w:r w:rsidR="00BB73C2" w:rsidRPr="00BB73C2">
        <w:rPr>
          <w:rFonts w:asciiTheme="minorHAnsi" w:hAnsiTheme="minorHAnsi" w:cstheme="minorHAnsi"/>
          <w:sz w:val="24"/>
          <w:szCs w:val="24"/>
        </w:rPr>
        <w:t>https://www.fundesporte.ms.gov.br/</w:t>
      </w:r>
    </w:p>
    <w:p w14:paraId="1E9EC3C2" w14:textId="0A8378AE" w:rsidR="001B70CE" w:rsidRPr="00D477EC" w:rsidRDefault="001B70CE" w:rsidP="001B70CE">
      <w:pPr>
        <w:spacing w:line="240" w:lineRule="auto"/>
        <w:jc w:val="center"/>
        <w:rPr>
          <w:rFonts w:asciiTheme="minorHAnsi" w:hAnsiTheme="minorHAnsi" w:cstheme="minorHAnsi"/>
          <w:sz w:val="24"/>
          <w:szCs w:val="24"/>
        </w:rPr>
      </w:pPr>
    </w:p>
    <w:p w14:paraId="7D10AF83" w14:textId="5847AEDD" w:rsidR="00E74A84" w:rsidRPr="00D477EC" w:rsidRDefault="00E74A84" w:rsidP="00E74A84">
      <w:pPr>
        <w:pStyle w:val="Corpodetexto"/>
        <w:rPr>
          <w:rFonts w:ascii="Verdana" w:hAnsi="Verdana"/>
          <w:spacing w:val="-2"/>
          <w:sz w:val="18"/>
          <w:szCs w:val="18"/>
        </w:rPr>
      </w:pPr>
    </w:p>
    <w:p w14:paraId="510C3551" w14:textId="77777777" w:rsidR="009D2D99" w:rsidRPr="00D477EC" w:rsidRDefault="009D2D99" w:rsidP="00E74A84">
      <w:pPr>
        <w:pStyle w:val="Corpodetexto"/>
        <w:rPr>
          <w:rFonts w:ascii="Verdana" w:hAnsi="Verdana"/>
          <w:spacing w:val="-2"/>
          <w:sz w:val="18"/>
          <w:szCs w:val="18"/>
        </w:rPr>
      </w:pPr>
    </w:p>
    <w:p w14:paraId="64268B3F" w14:textId="77777777" w:rsidR="00E74A84" w:rsidRPr="00D477EC" w:rsidRDefault="00E74A84" w:rsidP="00E74A84">
      <w:pPr>
        <w:pStyle w:val="Corpodetexto"/>
        <w:rPr>
          <w:rFonts w:ascii="Verdana" w:hAnsi="Verdana"/>
          <w:spacing w:val="-2"/>
          <w:sz w:val="18"/>
          <w:szCs w:val="18"/>
        </w:rPr>
      </w:pPr>
    </w:p>
    <w:p w14:paraId="111C2856" w14:textId="77777777" w:rsidR="00E74A84" w:rsidRPr="00D477EC" w:rsidRDefault="00E74A84" w:rsidP="00E74A84">
      <w:pPr>
        <w:pStyle w:val="Corpodetexto"/>
        <w:rPr>
          <w:rFonts w:ascii="Verdana" w:hAnsi="Verdana"/>
          <w:spacing w:val="-2"/>
          <w:sz w:val="18"/>
          <w:szCs w:val="18"/>
        </w:rPr>
      </w:pPr>
    </w:p>
    <w:p w14:paraId="4F83B437" w14:textId="77777777" w:rsidR="00E74A84" w:rsidRPr="00D477EC" w:rsidRDefault="00E74A84" w:rsidP="00E74A84">
      <w:pPr>
        <w:pStyle w:val="Corpodetexto"/>
        <w:rPr>
          <w:rFonts w:ascii="Verdana" w:hAnsi="Verdana"/>
          <w:spacing w:val="-2"/>
          <w:sz w:val="18"/>
          <w:szCs w:val="18"/>
        </w:rPr>
      </w:pPr>
    </w:p>
    <w:p w14:paraId="09CE2460" w14:textId="77777777" w:rsidR="00E74A84" w:rsidRPr="00D477EC" w:rsidRDefault="00E74A84" w:rsidP="00E74A84">
      <w:pPr>
        <w:pStyle w:val="Corpodetexto"/>
        <w:rPr>
          <w:rFonts w:ascii="Verdana" w:hAnsi="Verdana"/>
          <w:spacing w:val="-2"/>
          <w:sz w:val="18"/>
          <w:szCs w:val="18"/>
        </w:rPr>
      </w:pPr>
    </w:p>
    <w:p w14:paraId="3AE55660" w14:textId="77777777" w:rsidR="00E74A84" w:rsidRPr="00D477EC" w:rsidRDefault="00E74A84" w:rsidP="00E74A84">
      <w:pPr>
        <w:pStyle w:val="Corpodetexto"/>
        <w:rPr>
          <w:rFonts w:ascii="Verdana" w:hAnsi="Verdana"/>
          <w:spacing w:val="-2"/>
          <w:sz w:val="18"/>
          <w:szCs w:val="18"/>
        </w:rPr>
      </w:pPr>
    </w:p>
    <w:p w14:paraId="340B581D" w14:textId="77777777" w:rsidR="00E74A84" w:rsidRPr="00D477EC" w:rsidRDefault="00E74A84" w:rsidP="00E74A84">
      <w:pPr>
        <w:pStyle w:val="Corpodetexto"/>
        <w:rPr>
          <w:rFonts w:ascii="Verdana" w:hAnsi="Verdana"/>
          <w:spacing w:val="-2"/>
          <w:sz w:val="18"/>
          <w:szCs w:val="18"/>
        </w:rPr>
      </w:pPr>
    </w:p>
    <w:p w14:paraId="63B1CA85" w14:textId="77777777" w:rsidR="00E74A84" w:rsidRPr="00D477EC" w:rsidRDefault="00E74A84" w:rsidP="00E74A84">
      <w:pPr>
        <w:pStyle w:val="Corpodetexto"/>
        <w:rPr>
          <w:rFonts w:ascii="Verdana" w:hAnsi="Verdana"/>
          <w:spacing w:val="-2"/>
          <w:sz w:val="18"/>
          <w:szCs w:val="18"/>
        </w:rPr>
      </w:pPr>
    </w:p>
    <w:p w14:paraId="12623256" w14:textId="77777777" w:rsidR="00E74A84" w:rsidRPr="00D477EC" w:rsidRDefault="00E74A84" w:rsidP="00E74A84">
      <w:pPr>
        <w:pStyle w:val="Corpodetexto"/>
        <w:rPr>
          <w:rFonts w:ascii="Verdana" w:hAnsi="Verdana"/>
          <w:spacing w:val="-2"/>
          <w:sz w:val="18"/>
          <w:szCs w:val="18"/>
        </w:rPr>
      </w:pPr>
    </w:p>
    <w:p w14:paraId="7C47FE2D" w14:textId="77777777" w:rsidR="00E74A84" w:rsidRPr="00D477EC" w:rsidRDefault="00E74A84" w:rsidP="00E74A84">
      <w:pPr>
        <w:pStyle w:val="Corpodetexto"/>
        <w:rPr>
          <w:rFonts w:ascii="Verdana" w:hAnsi="Verdana"/>
          <w:spacing w:val="-2"/>
          <w:sz w:val="18"/>
          <w:szCs w:val="18"/>
        </w:rPr>
      </w:pPr>
    </w:p>
    <w:p w14:paraId="1AF91948" w14:textId="77777777" w:rsidR="00E74A84" w:rsidRPr="00D477EC" w:rsidRDefault="00E74A84" w:rsidP="00E74A84">
      <w:pPr>
        <w:pStyle w:val="Corpodetexto"/>
        <w:rPr>
          <w:rFonts w:ascii="Verdana" w:hAnsi="Verdana"/>
          <w:spacing w:val="-2"/>
          <w:sz w:val="18"/>
          <w:szCs w:val="18"/>
        </w:rPr>
      </w:pPr>
    </w:p>
    <w:p w14:paraId="2E25016B" w14:textId="77777777" w:rsidR="00E74A84" w:rsidRPr="00D477EC" w:rsidRDefault="00E74A84" w:rsidP="00E74A84">
      <w:pPr>
        <w:pStyle w:val="Corpodetexto"/>
        <w:rPr>
          <w:rFonts w:ascii="Verdana" w:hAnsi="Verdana"/>
          <w:spacing w:val="-2"/>
          <w:sz w:val="18"/>
          <w:szCs w:val="18"/>
        </w:rPr>
      </w:pPr>
    </w:p>
    <w:p w14:paraId="070BDCAD" w14:textId="77777777" w:rsidR="00E74A84" w:rsidRPr="00D477EC" w:rsidRDefault="00E74A84" w:rsidP="00E74A84">
      <w:pPr>
        <w:pStyle w:val="Corpodetexto"/>
        <w:rPr>
          <w:rFonts w:ascii="Verdana" w:hAnsi="Verdana"/>
          <w:spacing w:val="-2"/>
          <w:sz w:val="18"/>
          <w:szCs w:val="18"/>
        </w:rPr>
      </w:pPr>
    </w:p>
    <w:p w14:paraId="22609508" w14:textId="77777777" w:rsidR="00E74A84" w:rsidRPr="00D477EC" w:rsidRDefault="00E74A84" w:rsidP="00E74A84">
      <w:pPr>
        <w:pStyle w:val="Corpodetexto"/>
        <w:rPr>
          <w:rFonts w:ascii="Verdana" w:hAnsi="Verdana"/>
          <w:spacing w:val="-2"/>
          <w:sz w:val="18"/>
          <w:szCs w:val="18"/>
        </w:rPr>
      </w:pPr>
    </w:p>
    <w:p w14:paraId="7A15DEBF" w14:textId="77777777" w:rsidR="00E74A84" w:rsidRPr="00D477EC" w:rsidRDefault="00E74A84" w:rsidP="00E74A84">
      <w:pPr>
        <w:pStyle w:val="Corpodetexto"/>
        <w:rPr>
          <w:rFonts w:ascii="Verdana" w:hAnsi="Verdana"/>
          <w:spacing w:val="-2"/>
          <w:sz w:val="18"/>
          <w:szCs w:val="18"/>
        </w:rPr>
      </w:pPr>
    </w:p>
    <w:p w14:paraId="49F5F7B4" w14:textId="77777777" w:rsidR="00E74A84" w:rsidRPr="00D477EC" w:rsidRDefault="00E74A84" w:rsidP="00E74A84">
      <w:pPr>
        <w:pStyle w:val="Corpodetexto"/>
        <w:rPr>
          <w:rFonts w:ascii="Verdana" w:hAnsi="Verdana"/>
          <w:spacing w:val="-2"/>
          <w:sz w:val="18"/>
          <w:szCs w:val="18"/>
        </w:rPr>
      </w:pPr>
    </w:p>
    <w:p w14:paraId="55FFCC18" w14:textId="77777777" w:rsidR="00E74A84" w:rsidRPr="00D477EC" w:rsidRDefault="00E74A84" w:rsidP="00E74A84">
      <w:pPr>
        <w:pStyle w:val="Corpodetexto"/>
        <w:rPr>
          <w:rFonts w:ascii="Verdana" w:hAnsi="Verdana"/>
          <w:spacing w:val="-2"/>
          <w:sz w:val="18"/>
          <w:szCs w:val="18"/>
        </w:rPr>
      </w:pPr>
    </w:p>
    <w:p w14:paraId="75A0086D" w14:textId="77777777" w:rsidR="00E74A84" w:rsidRPr="00D477EC" w:rsidRDefault="00E74A84" w:rsidP="00E74A84">
      <w:pPr>
        <w:pStyle w:val="Corpodetexto"/>
        <w:rPr>
          <w:rFonts w:ascii="Verdana" w:hAnsi="Verdana"/>
          <w:spacing w:val="-2"/>
          <w:sz w:val="18"/>
          <w:szCs w:val="18"/>
        </w:rPr>
      </w:pPr>
    </w:p>
    <w:p w14:paraId="482DB126" w14:textId="77777777" w:rsidR="00E74A84" w:rsidRPr="00D477EC" w:rsidRDefault="00E74A84" w:rsidP="00E74A84">
      <w:pPr>
        <w:pStyle w:val="Corpodetexto"/>
        <w:rPr>
          <w:rFonts w:ascii="Verdana" w:hAnsi="Verdana"/>
          <w:spacing w:val="-2"/>
          <w:sz w:val="18"/>
          <w:szCs w:val="18"/>
        </w:rPr>
      </w:pPr>
    </w:p>
    <w:p w14:paraId="2AA905BE" w14:textId="77777777" w:rsidR="00E74A84" w:rsidRPr="00D477EC" w:rsidRDefault="00E74A84" w:rsidP="00E74A84">
      <w:pPr>
        <w:pStyle w:val="Corpodetexto"/>
        <w:rPr>
          <w:rFonts w:ascii="Verdana" w:hAnsi="Verdana"/>
          <w:spacing w:val="-2"/>
          <w:sz w:val="18"/>
          <w:szCs w:val="18"/>
        </w:rPr>
      </w:pPr>
    </w:p>
    <w:p w14:paraId="1902BDAA" w14:textId="77777777" w:rsidR="00E74A84" w:rsidRPr="00D477EC" w:rsidRDefault="00E74A84" w:rsidP="00E74A84">
      <w:pPr>
        <w:pStyle w:val="Corpodetexto"/>
        <w:rPr>
          <w:rFonts w:ascii="Verdana" w:hAnsi="Verdana"/>
          <w:spacing w:val="-2"/>
          <w:sz w:val="18"/>
          <w:szCs w:val="18"/>
        </w:rPr>
      </w:pPr>
    </w:p>
    <w:p w14:paraId="50C71125" w14:textId="77777777" w:rsidR="00E74A84" w:rsidRPr="00D477EC" w:rsidRDefault="00E74A84" w:rsidP="00E74A84">
      <w:pPr>
        <w:pStyle w:val="Corpodetexto"/>
        <w:rPr>
          <w:rFonts w:ascii="Verdana" w:hAnsi="Verdana"/>
          <w:spacing w:val="-2"/>
          <w:sz w:val="18"/>
          <w:szCs w:val="18"/>
        </w:rPr>
      </w:pPr>
    </w:p>
    <w:p w14:paraId="4146E72E" w14:textId="77777777" w:rsidR="00E74A84" w:rsidRPr="00D477EC" w:rsidRDefault="00E74A84" w:rsidP="00E74A84">
      <w:pPr>
        <w:pStyle w:val="Corpodetexto"/>
        <w:rPr>
          <w:rFonts w:ascii="Verdana" w:hAnsi="Verdana"/>
          <w:spacing w:val="-2"/>
          <w:sz w:val="18"/>
          <w:szCs w:val="18"/>
        </w:rPr>
      </w:pPr>
    </w:p>
    <w:p w14:paraId="4F0676EF" w14:textId="77777777" w:rsidR="00E74A84" w:rsidRPr="00D477EC" w:rsidRDefault="00E74A84" w:rsidP="00E74A84">
      <w:pPr>
        <w:pStyle w:val="Corpodetexto"/>
        <w:rPr>
          <w:rFonts w:ascii="Verdana" w:hAnsi="Verdana"/>
          <w:spacing w:val="-2"/>
          <w:sz w:val="18"/>
          <w:szCs w:val="18"/>
        </w:rPr>
      </w:pPr>
    </w:p>
    <w:p w14:paraId="0EED82B2" w14:textId="77777777" w:rsidR="00E74A84" w:rsidRPr="00D477EC" w:rsidRDefault="00E74A84" w:rsidP="00E74A84">
      <w:pPr>
        <w:pStyle w:val="Corpodetexto"/>
        <w:rPr>
          <w:rFonts w:ascii="Verdana" w:hAnsi="Verdana"/>
          <w:spacing w:val="-2"/>
          <w:sz w:val="18"/>
          <w:szCs w:val="18"/>
        </w:rPr>
      </w:pPr>
    </w:p>
    <w:p w14:paraId="5E26BEFE" w14:textId="77777777" w:rsidR="00E74A84" w:rsidRPr="00D477EC" w:rsidRDefault="00E74A84" w:rsidP="00E74A84">
      <w:pPr>
        <w:pStyle w:val="Corpodetexto"/>
        <w:rPr>
          <w:rFonts w:ascii="Verdana" w:hAnsi="Verdana"/>
          <w:spacing w:val="-2"/>
          <w:sz w:val="18"/>
          <w:szCs w:val="18"/>
        </w:rPr>
      </w:pPr>
    </w:p>
    <w:p w14:paraId="56A97B6D" w14:textId="77777777" w:rsidR="00E74A84" w:rsidRPr="00D477EC" w:rsidRDefault="00E74A84" w:rsidP="00E74A84">
      <w:pPr>
        <w:pStyle w:val="Corpodetexto"/>
        <w:rPr>
          <w:rFonts w:ascii="Verdana" w:hAnsi="Verdana"/>
          <w:spacing w:val="-2"/>
          <w:sz w:val="18"/>
          <w:szCs w:val="18"/>
        </w:rPr>
      </w:pPr>
    </w:p>
    <w:p w14:paraId="3BFF246D" w14:textId="77777777" w:rsidR="00E74A84" w:rsidRPr="00D477EC" w:rsidRDefault="00E74A84" w:rsidP="00E74A84">
      <w:pPr>
        <w:pStyle w:val="Corpodetexto"/>
        <w:rPr>
          <w:rFonts w:ascii="Verdana" w:hAnsi="Verdana"/>
          <w:spacing w:val="-2"/>
          <w:sz w:val="18"/>
          <w:szCs w:val="18"/>
        </w:rPr>
      </w:pPr>
    </w:p>
    <w:p w14:paraId="1D5CBF96" w14:textId="77777777" w:rsidR="00E74A84" w:rsidRPr="00D477EC" w:rsidRDefault="00E74A84" w:rsidP="00E74A84">
      <w:pPr>
        <w:pStyle w:val="Corpodetexto"/>
        <w:rPr>
          <w:rFonts w:ascii="Verdana" w:hAnsi="Verdana"/>
          <w:spacing w:val="-2"/>
          <w:sz w:val="18"/>
          <w:szCs w:val="18"/>
        </w:rPr>
      </w:pPr>
    </w:p>
    <w:p w14:paraId="3C1C967C" w14:textId="77777777" w:rsidR="00E74A84" w:rsidRPr="00D477EC" w:rsidRDefault="00E74A84" w:rsidP="00E74A84">
      <w:pPr>
        <w:pStyle w:val="Corpodetexto"/>
        <w:rPr>
          <w:rFonts w:ascii="Verdana" w:hAnsi="Verdana"/>
          <w:spacing w:val="-2"/>
          <w:sz w:val="18"/>
          <w:szCs w:val="18"/>
        </w:rPr>
      </w:pPr>
    </w:p>
    <w:p w14:paraId="5590E3FC" w14:textId="77777777" w:rsidR="00E74A84" w:rsidRPr="00D477EC" w:rsidRDefault="00E74A84" w:rsidP="00E74A84">
      <w:pPr>
        <w:pStyle w:val="Corpodetexto"/>
        <w:rPr>
          <w:rFonts w:ascii="Verdana" w:hAnsi="Verdana"/>
          <w:spacing w:val="-2"/>
          <w:sz w:val="18"/>
          <w:szCs w:val="18"/>
        </w:rPr>
      </w:pPr>
    </w:p>
    <w:p w14:paraId="0211F80E" w14:textId="77777777" w:rsidR="00E74A84" w:rsidRPr="00D477EC" w:rsidRDefault="00E74A84" w:rsidP="00E74A84">
      <w:pPr>
        <w:pStyle w:val="Corpodetexto"/>
        <w:rPr>
          <w:rFonts w:ascii="Verdana" w:hAnsi="Verdana"/>
          <w:spacing w:val="-2"/>
          <w:sz w:val="18"/>
          <w:szCs w:val="18"/>
        </w:rPr>
      </w:pPr>
    </w:p>
    <w:p w14:paraId="0FB8E613" w14:textId="4B5BC6B1" w:rsidR="00E74A84" w:rsidRPr="00D477EC" w:rsidRDefault="00E74A84" w:rsidP="00E74A84">
      <w:pPr>
        <w:pStyle w:val="Corpodetexto"/>
        <w:rPr>
          <w:rFonts w:ascii="Verdana" w:hAnsi="Verdana"/>
          <w:spacing w:val="-2"/>
          <w:sz w:val="18"/>
          <w:szCs w:val="18"/>
        </w:rPr>
      </w:pPr>
    </w:p>
    <w:p w14:paraId="32C58DF6" w14:textId="323AA015" w:rsidR="00E74A84" w:rsidRPr="00D477EC" w:rsidRDefault="00E74A84" w:rsidP="00E74A84">
      <w:pPr>
        <w:pStyle w:val="Corpodetexto"/>
        <w:rPr>
          <w:rFonts w:ascii="Verdana" w:hAnsi="Verdana"/>
          <w:spacing w:val="-2"/>
          <w:sz w:val="18"/>
          <w:szCs w:val="18"/>
        </w:rPr>
      </w:pPr>
    </w:p>
    <w:p w14:paraId="0E1C0AA4" w14:textId="2E496716" w:rsidR="00BC7FCA" w:rsidRPr="00D477EC" w:rsidRDefault="00BC7FCA" w:rsidP="00E74A84">
      <w:pPr>
        <w:pStyle w:val="Corpodetexto"/>
        <w:rPr>
          <w:rFonts w:ascii="Verdana" w:hAnsi="Verdana"/>
          <w:spacing w:val="-2"/>
          <w:sz w:val="18"/>
          <w:szCs w:val="18"/>
        </w:rPr>
      </w:pPr>
    </w:p>
    <w:p w14:paraId="51048F1B" w14:textId="36F2F007" w:rsidR="00BC7FCA" w:rsidRPr="00D477EC" w:rsidRDefault="00BC7FCA" w:rsidP="00E74A84">
      <w:pPr>
        <w:pStyle w:val="Corpodetexto"/>
        <w:rPr>
          <w:rFonts w:ascii="Verdana" w:hAnsi="Verdana"/>
          <w:spacing w:val="-2"/>
          <w:sz w:val="18"/>
          <w:szCs w:val="18"/>
        </w:rPr>
      </w:pPr>
    </w:p>
    <w:p w14:paraId="20EF01A1" w14:textId="0C1E431A" w:rsidR="00BC7FCA" w:rsidRPr="00D477EC" w:rsidRDefault="00BC7FCA" w:rsidP="00E74A84">
      <w:pPr>
        <w:pStyle w:val="Corpodetexto"/>
        <w:rPr>
          <w:rFonts w:ascii="Verdana" w:hAnsi="Verdana"/>
          <w:spacing w:val="-2"/>
          <w:sz w:val="18"/>
          <w:szCs w:val="18"/>
        </w:rPr>
      </w:pPr>
    </w:p>
    <w:p w14:paraId="0000E61C" w14:textId="3D887359" w:rsidR="00BC7FCA" w:rsidRPr="00D477EC" w:rsidRDefault="00BC7FCA" w:rsidP="00E74A84">
      <w:pPr>
        <w:pStyle w:val="Corpodetexto"/>
        <w:rPr>
          <w:rFonts w:ascii="Verdana" w:hAnsi="Verdana"/>
          <w:spacing w:val="-2"/>
          <w:sz w:val="18"/>
          <w:szCs w:val="18"/>
        </w:rPr>
      </w:pPr>
    </w:p>
    <w:p w14:paraId="36BDF97F" w14:textId="31194E6F" w:rsidR="00BC7FCA" w:rsidRPr="00D477EC" w:rsidRDefault="00BC7FCA" w:rsidP="00E74A84">
      <w:pPr>
        <w:pStyle w:val="Corpodetexto"/>
        <w:rPr>
          <w:rFonts w:ascii="Verdana" w:hAnsi="Verdana"/>
          <w:spacing w:val="-2"/>
          <w:sz w:val="18"/>
          <w:szCs w:val="18"/>
        </w:rPr>
      </w:pPr>
    </w:p>
    <w:p w14:paraId="32E2D53D" w14:textId="431B41A1" w:rsidR="00BC7FCA" w:rsidRPr="00D477EC" w:rsidRDefault="00BC7FCA" w:rsidP="00E74A84">
      <w:pPr>
        <w:pStyle w:val="Corpodetexto"/>
        <w:rPr>
          <w:rFonts w:ascii="Verdana" w:hAnsi="Verdana"/>
          <w:spacing w:val="-2"/>
          <w:sz w:val="18"/>
          <w:szCs w:val="18"/>
        </w:rPr>
      </w:pPr>
    </w:p>
    <w:p w14:paraId="07B1875F" w14:textId="40A2FEBC" w:rsidR="00BC7FCA" w:rsidRPr="00D477EC" w:rsidRDefault="00BC7FCA" w:rsidP="00E74A84">
      <w:pPr>
        <w:pStyle w:val="Corpodetexto"/>
        <w:rPr>
          <w:rFonts w:ascii="Verdana" w:hAnsi="Verdana"/>
          <w:spacing w:val="-2"/>
          <w:sz w:val="18"/>
          <w:szCs w:val="18"/>
        </w:rPr>
      </w:pPr>
    </w:p>
    <w:p w14:paraId="4813471E" w14:textId="269C150E" w:rsidR="00BC7FCA" w:rsidRPr="00D477EC" w:rsidRDefault="00BC7FCA" w:rsidP="00E74A84">
      <w:pPr>
        <w:pStyle w:val="Corpodetexto"/>
        <w:rPr>
          <w:rFonts w:ascii="Verdana" w:hAnsi="Verdana"/>
          <w:spacing w:val="-2"/>
          <w:sz w:val="18"/>
          <w:szCs w:val="18"/>
        </w:rPr>
      </w:pPr>
    </w:p>
    <w:p w14:paraId="4CE074AE" w14:textId="59E912B2" w:rsidR="00BC7FCA" w:rsidRPr="00D477EC" w:rsidRDefault="00BC7FCA" w:rsidP="00E74A84">
      <w:pPr>
        <w:pStyle w:val="Corpodetexto"/>
        <w:rPr>
          <w:rFonts w:ascii="Verdana" w:hAnsi="Verdana"/>
          <w:spacing w:val="-2"/>
          <w:sz w:val="18"/>
          <w:szCs w:val="18"/>
        </w:rPr>
      </w:pPr>
    </w:p>
    <w:p w14:paraId="5D7F2E8C" w14:textId="7329A2AC" w:rsidR="00BC7FCA" w:rsidRPr="00D477EC" w:rsidRDefault="00BC7FCA" w:rsidP="00E74A84">
      <w:pPr>
        <w:pStyle w:val="Corpodetexto"/>
        <w:rPr>
          <w:rFonts w:ascii="Verdana" w:hAnsi="Verdana"/>
          <w:spacing w:val="-2"/>
          <w:sz w:val="18"/>
          <w:szCs w:val="18"/>
        </w:rPr>
      </w:pPr>
    </w:p>
    <w:p w14:paraId="1F529D51" w14:textId="3F69F794" w:rsidR="00BC7FCA" w:rsidRPr="00D477EC" w:rsidRDefault="00BC7FCA" w:rsidP="00E74A84">
      <w:pPr>
        <w:pStyle w:val="Corpodetexto"/>
        <w:rPr>
          <w:rFonts w:ascii="Verdana" w:hAnsi="Verdana"/>
          <w:spacing w:val="-2"/>
          <w:sz w:val="18"/>
          <w:szCs w:val="18"/>
        </w:rPr>
      </w:pPr>
    </w:p>
    <w:p w14:paraId="5F4BC9B9" w14:textId="798699B1" w:rsidR="00BC7FCA" w:rsidRPr="00D477EC" w:rsidRDefault="00BC7FCA" w:rsidP="00E74A84">
      <w:pPr>
        <w:pStyle w:val="Corpodetexto"/>
        <w:rPr>
          <w:rFonts w:ascii="Verdana" w:hAnsi="Verdana"/>
          <w:spacing w:val="-2"/>
          <w:sz w:val="18"/>
          <w:szCs w:val="18"/>
        </w:rPr>
      </w:pPr>
    </w:p>
    <w:p w14:paraId="3BC31330" w14:textId="77777777" w:rsidR="00BC7FCA" w:rsidRPr="00D477EC" w:rsidRDefault="00BC7FCA" w:rsidP="00E74A84">
      <w:pPr>
        <w:pStyle w:val="Corpodetexto"/>
        <w:rPr>
          <w:rFonts w:ascii="Verdana" w:hAnsi="Verdana"/>
          <w:spacing w:val="-2"/>
          <w:sz w:val="18"/>
          <w:szCs w:val="18"/>
        </w:rPr>
      </w:pPr>
    </w:p>
    <w:p w14:paraId="46D08F6F" w14:textId="68A7E75C" w:rsidR="00E74A84" w:rsidRPr="00D477EC" w:rsidRDefault="00E74A84" w:rsidP="00E74A84">
      <w:pPr>
        <w:pStyle w:val="Corpodetexto"/>
        <w:rPr>
          <w:rFonts w:ascii="Verdana" w:hAnsi="Verdana"/>
          <w:spacing w:val="-2"/>
          <w:sz w:val="18"/>
          <w:szCs w:val="18"/>
        </w:rPr>
      </w:pPr>
    </w:p>
    <w:p w14:paraId="1A05CA1D" w14:textId="44CD95C5" w:rsidR="00E74A84" w:rsidRPr="00D477EC" w:rsidRDefault="00E74A84" w:rsidP="00E74A84">
      <w:pPr>
        <w:pStyle w:val="Corpodetexto"/>
        <w:rPr>
          <w:rFonts w:ascii="Verdana" w:hAnsi="Verdana"/>
          <w:spacing w:val="-2"/>
          <w:sz w:val="18"/>
          <w:szCs w:val="18"/>
        </w:rPr>
      </w:pPr>
    </w:p>
    <w:p w14:paraId="6397508B" w14:textId="5BC010C7" w:rsidR="00E74A84" w:rsidRPr="00D477EC" w:rsidRDefault="00E74A84" w:rsidP="00E74A84">
      <w:pPr>
        <w:pStyle w:val="Corpodetexto"/>
        <w:rPr>
          <w:rFonts w:ascii="Verdana" w:hAnsi="Verdana"/>
          <w:spacing w:val="-2"/>
          <w:sz w:val="18"/>
          <w:szCs w:val="18"/>
        </w:rPr>
      </w:pPr>
    </w:p>
    <w:p w14:paraId="10ED598D" w14:textId="78A6C6BC" w:rsidR="00E74A84" w:rsidRPr="00D477EC" w:rsidRDefault="00E74A84" w:rsidP="00E74A84">
      <w:pPr>
        <w:pStyle w:val="Corpodetexto"/>
        <w:rPr>
          <w:rFonts w:ascii="Verdana" w:hAnsi="Verdana"/>
          <w:spacing w:val="-2"/>
          <w:sz w:val="18"/>
          <w:szCs w:val="18"/>
        </w:rPr>
      </w:pPr>
    </w:p>
    <w:p w14:paraId="698BF797" w14:textId="34322959" w:rsidR="00E74A84" w:rsidRPr="00D477EC" w:rsidRDefault="00E74A84" w:rsidP="00E74A84">
      <w:pPr>
        <w:pStyle w:val="Corpodetexto"/>
        <w:rPr>
          <w:rFonts w:ascii="Verdana" w:hAnsi="Verdana"/>
          <w:spacing w:val="-2"/>
          <w:sz w:val="18"/>
          <w:szCs w:val="18"/>
        </w:rPr>
      </w:pPr>
    </w:p>
    <w:p w14:paraId="3DE1803A" w14:textId="42834AB4" w:rsidR="00E74A84" w:rsidRPr="00D477EC" w:rsidRDefault="00E74A84" w:rsidP="00E74A84">
      <w:pPr>
        <w:pStyle w:val="Corpodetexto"/>
        <w:rPr>
          <w:rFonts w:ascii="Verdana" w:hAnsi="Verdana"/>
          <w:spacing w:val="-2"/>
          <w:sz w:val="18"/>
          <w:szCs w:val="18"/>
        </w:rPr>
      </w:pPr>
    </w:p>
    <w:p w14:paraId="338E3B07" w14:textId="4F5CB9B3" w:rsidR="00E74A84" w:rsidRPr="00D477EC" w:rsidRDefault="00E74A84" w:rsidP="00E74A84">
      <w:pPr>
        <w:pStyle w:val="Corpodetexto"/>
        <w:rPr>
          <w:rFonts w:ascii="Verdana" w:hAnsi="Verdana"/>
          <w:spacing w:val="-2"/>
          <w:sz w:val="18"/>
          <w:szCs w:val="18"/>
        </w:rPr>
      </w:pPr>
    </w:p>
    <w:p w14:paraId="7F95ED22" w14:textId="7117E0E3" w:rsidR="00E74A84" w:rsidRPr="00D477EC" w:rsidRDefault="00BC7FCA" w:rsidP="00E74A84">
      <w:pPr>
        <w:pStyle w:val="Corpodetexto"/>
        <w:rPr>
          <w:rFonts w:ascii="Verdana" w:hAnsi="Verdana"/>
          <w:spacing w:val="-2"/>
          <w:sz w:val="18"/>
          <w:szCs w:val="18"/>
        </w:rPr>
      </w:pPr>
      <w:r w:rsidRPr="00D477EC">
        <w:rPr>
          <w:rFonts w:ascii="Verdana" w:hAnsi="Verdana"/>
          <w:noProof/>
          <w:spacing w:val="-2"/>
          <w:sz w:val="18"/>
          <w:szCs w:val="18"/>
          <w:lang w:val="pt-BR" w:eastAsia="pt-BR"/>
        </w:rPr>
        <mc:AlternateContent>
          <mc:Choice Requires="wps">
            <w:drawing>
              <wp:anchor distT="45720" distB="45720" distL="114300" distR="114300" simplePos="0" relativeHeight="251659264" behindDoc="0" locked="0" layoutInCell="1" allowOverlap="1" wp14:anchorId="7F7D79D6" wp14:editId="6ED2AFF1">
                <wp:simplePos x="0" y="0"/>
                <wp:positionH relativeFrom="column">
                  <wp:posOffset>909208</wp:posOffset>
                </wp:positionH>
                <wp:positionV relativeFrom="paragraph">
                  <wp:posOffset>107726</wp:posOffset>
                </wp:positionV>
                <wp:extent cx="5031105"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1404620"/>
                        </a:xfrm>
                        <a:prstGeom prst="rect">
                          <a:avLst/>
                        </a:prstGeom>
                        <a:noFill/>
                        <a:ln w="9525">
                          <a:noFill/>
                          <a:miter lim="800000"/>
                          <a:headEnd/>
                          <a:tailEnd/>
                        </a:ln>
                      </wps:spPr>
                      <wps:txbx>
                        <w:txbxContent>
                          <w:p w14:paraId="1D96F93B" w14:textId="384FEAEC" w:rsidR="00C61B8C" w:rsidRPr="006600B8" w:rsidRDefault="00914AF4" w:rsidP="00C7339E">
                            <w:pPr>
                              <w:jc w:val="center"/>
                              <w:rPr>
                                <w:rFonts w:ascii="Arial Black" w:hAnsi="Arial Black"/>
                                <w:color w:val="FFFFFF" w:themeColor="background1"/>
                                <w:sz w:val="36"/>
                              </w:rPr>
                            </w:pPr>
                            <w:r>
                              <w:rPr>
                                <w:rFonts w:ascii="Arial Black" w:hAnsi="Arial Black"/>
                                <w:color w:val="FFFFFF" w:themeColor="background1"/>
                                <w:sz w:val="36"/>
                              </w:rPr>
                              <w:t>FUNDAÇÃO DE DESPORTO E LAZER DE MATO GROSSO DO SUL</w:t>
                            </w:r>
                          </w:p>
                          <w:p w14:paraId="598C18B2" w14:textId="3604191F" w:rsidR="00C61B8C" w:rsidRPr="006600B8" w:rsidRDefault="00914AF4" w:rsidP="00C7339E">
                            <w:pPr>
                              <w:jc w:val="center"/>
                              <w:rPr>
                                <w:rFonts w:ascii="Arial Black" w:hAnsi="Arial Black"/>
                                <w:color w:val="FFFFFF" w:themeColor="background1"/>
                                <w:sz w:val="28"/>
                              </w:rPr>
                            </w:pPr>
                            <w:r>
                              <w:rPr>
                                <w:rFonts w:ascii="Arial Black" w:hAnsi="Arial Black"/>
                                <w:color w:val="FFFFFF" w:themeColor="background1"/>
                                <w:sz w:val="28"/>
                              </w:rPr>
                              <w:t>NOVAS CONQUISTAS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7D79D6" id="_x0000_t202" coordsize="21600,21600" o:spt="202" path="m,l,21600r21600,l21600,xe">
                <v:stroke joinstyle="miter"/>
                <v:path gradientshapeok="t" o:connecttype="rect"/>
              </v:shapetype>
              <v:shape id="Caixa de Texto 2" o:spid="_x0000_s1026" type="#_x0000_t202" style="position:absolute;margin-left:71.6pt;margin-top:8.5pt;width:396.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7aEwIAAPsDAAAOAAAAZHJzL2Uyb0RvYy54bWysU8tu2zAQvBfoPxC813rUzkOwHKROXRRI&#10;H0DSD1hTlEWU4rIkbSn9+iwpxzHaW1EdCFK7O9yZHS5vxl6zg3Reoal5Mcs5k0Zgo8yu5j8eN++u&#10;OPMBTAMajaz5k/T8ZvX2zXKwlSyxQ91IxwjE+GqwNe9CsFWWedHJHvwMrTQUbNH1EOjodlnjYCD0&#10;Xmdlnl9kA7rGOhTSe/p7NwX5KuG3rRThW9t6GZiuOfUW0urSuo1rtlpCtXNgOyWObcA/dNGDMnTp&#10;CeoOArC9U39B9Uo49NiGmcA+w7ZVQiYOxKbI/2Dz0IGViQuJ4+1JJv//YMXXw3fHVFPzsrjkzEBP&#10;Q1qDGoE1kj3KMSAro0qD9RUlP1hKD+MHHGnaibG39yh+emZw3YHZyVvncOgkNNRlESuzs9IJx0eQ&#10;7fAFG7oM9gET0Ni6PkpIojBCp2k9nSZEfTBBPxf5+6LIF5wJihXzfH5RphlmUL2UW+fDJ4k9i5ua&#10;O7JAgofDvQ+xHaheUuJtBjdK62QDbdhQ8+tFuUgFZ5FeBXKpVn3Nr/L4Tb6JLD+aJhUHUHra0wXa&#10;HGlHphPnMG5HSoxabLF5IgEcTm6k10ObDt1vzgZyYs39rz04yZn+bEjE62I+j9ZNh/nikhgzdx7Z&#10;nkfACIKqeeBs2q5Dsnvk6u0tib1RSYbXTo69ksOSOsfXEC18fk5Zr2929QwAAP//AwBQSwMEFAAG&#10;AAgAAAAhAPcxIsfeAAAACgEAAA8AAABkcnMvZG93bnJldi54bWxMj8tOwzAQRfdI/IM1SOyog0Np&#10;CXGqCrVlCbRR125skoh4bNluGv6eYQW7uZqj+yhXkx3YaELsHUq4n2XADDZO99hKqA/buyWwmBRq&#10;NTg0Er5NhFV1fVWqQrsLfphxn1pGJhgLJaFLyRecx6YzVsWZ8wbp9+mCVYlkaLkO6kLmduAiyx65&#10;VT1SQqe8eelM87U/Wwk++d3iNby9rzfbMauPu1r07UbK25tp/QwsmSn9wfBbn6pDRZ1O7ow6soH0&#10;Qy4IpWNBmwh4yudzYCcJIl8K4FXJ/0+ofgAAAP//AwBQSwECLQAUAAYACAAAACEAtoM4kv4AAADh&#10;AQAAEwAAAAAAAAAAAAAAAAAAAAAAW0NvbnRlbnRfVHlwZXNdLnhtbFBLAQItABQABgAIAAAAIQA4&#10;/SH/1gAAAJQBAAALAAAAAAAAAAAAAAAAAC8BAABfcmVscy8ucmVsc1BLAQItABQABgAIAAAAIQDt&#10;Fe7aEwIAAPsDAAAOAAAAAAAAAAAAAAAAAC4CAABkcnMvZTJvRG9jLnhtbFBLAQItABQABgAIAAAA&#10;IQD3MSLH3gAAAAoBAAAPAAAAAAAAAAAAAAAAAG0EAABkcnMvZG93bnJldi54bWxQSwUGAAAAAAQA&#10;BADzAAAAeAUAAAAA&#10;" filled="f" stroked="f">
                <v:textbox style="mso-fit-shape-to-text:t">
                  <w:txbxContent>
                    <w:p w14:paraId="1D96F93B" w14:textId="384FEAEC" w:rsidR="00C61B8C" w:rsidRPr="006600B8" w:rsidRDefault="00914AF4" w:rsidP="00C7339E">
                      <w:pPr>
                        <w:jc w:val="center"/>
                        <w:rPr>
                          <w:rFonts w:ascii="Arial Black" w:hAnsi="Arial Black"/>
                          <w:color w:val="FFFFFF" w:themeColor="background1"/>
                          <w:sz w:val="36"/>
                        </w:rPr>
                      </w:pPr>
                      <w:r>
                        <w:rPr>
                          <w:rFonts w:ascii="Arial Black" w:hAnsi="Arial Black"/>
                          <w:color w:val="FFFFFF" w:themeColor="background1"/>
                          <w:sz w:val="36"/>
                        </w:rPr>
                        <w:t>FUNDAÇÃO DE DESPORTO E LAZER DE MATO GROSSO DO SUL</w:t>
                      </w:r>
                    </w:p>
                    <w:p w14:paraId="598C18B2" w14:textId="3604191F" w:rsidR="00C61B8C" w:rsidRPr="006600B8" w:rsidRDefault="00914AF4" w:rsidP="00C7339E">
                      <w:pPr>
                        <w:jc w:val="center"/>
                        <w:rPr>
                          <w:rFonts w:ascii="Arial Black" w:hAnsi="Arial Black"/>
                          <w:color w:val="FFFFFF" w:themeColor="background1"/>
                          <w:sz w:val="28"/>
                        </w:rPr>
                      </w:pPr>
                      <w:r>
                        <w:rPr>
                          <w:rFonts w:ascii="Arial Black" w:hAnsi="Arial Black"/>
                          <w:color w:val="FFFFFF" w:themeColor="background1"/>
                          <w:sz w:val="28"/>
                        </w:rPr>
                        <w:t>NOVAS CONQUISTAS</w:t>
                      </w:r>
                    </w:p>
                  </w:txbxContent>
                </v:textbox>
                <w10:wrap type="square"/>
              </v:shape>
            </w:pict>
          </mc:Fallback>
        </mc:AlternateContent>
      </w:r>
    </w:p>
    <w:p w14:paraId="500BE54C" w14:textId="05492ED9" w:rsidR="00E74A84" w:rsidRPr="00D477EC" w:rsidRDefault="00E74A84" w:rsidP="00E74A84">
      <w:pPr>
        <w:pStyle w:val="Corpodetexto"/>
        <w:rPr>
          <w:rFonts w:ascii="Verdana" w:hAnsi="Verdana"/>
          <w:spacing w:val="-2"/>
          <w:sz w:val="18"/>
          <w:szCs w:val="18"/>
        </w:rPr>
      </w:pPr>
    </w:p>
    <w:p w14:paraId="0A2B0EE4" w14:textId="09762791" w:rsidR="00E74A84" w:rsidRPr="00D477EC" w:rsidRDefault="00E74A84" w:rsidP="00E74A84">
      <w:pPr>
        <w:pStyle w:val="Corpodetexto"/>
        <w:rPr>
          <w:rFonts w:ascii="Verdana" w:hAnsi="Verdana"/>
          <w:spacing w:val="-2"/>
          <w:sz w:val="18"/>
          <w:szCs w:val="18"/>
        </w:rPr>
      </w:pPr>
    </w:p>
    <w:p w14:paraId="26B2EBF5" w14:textId="3E5338D0" w:rsidR="00E74A84" w:rsidRPr="00D477EC" w:rsidRDefault="00E74A84" w:rsidP="00E74A84">
      <w:pPr>
        <w:pStyle w:val="Corpodetexto"/>
        <w:rPr>
          <w:rFonts w:ascii="Verdana" w:hAnsi="Verdana"/>
          <w:spacing w:val="-2"/>
          <w:sz w:val="18"/>
          <w:szCs w:val="18"/>
        </w:rPr>
      </w:pPr>
    </w:p>
    <w:p w14:paraId="262087CC" w14:textId="4618D62A" w:rsidR="00E74A84" w:rsidRPr="00D477EC" w:rsidRDefault="00E74A84" w:rsidP="00E74A84">
      <w:pPr>
        <w:pStyle w:val="Corpodetexto"/>
        <w:rPr>
          <w:rFonts w:ascii="Verdana" w:hAnsi="Verdana"/>
          <w:spacing w:val="-2"/>
          <w:sz w:val="18"/>
          <w:szCs w:val="18"/>
        </w:rPr>
      </w:pPr>
    </w:p>
    <w:p w14:paraId="17396386" w14:textId="5EEE2540" w:rsidR="00E74A84" w:rsidRPr="00D477EC" w:rsidRDefault="00E74A84" w:rsidP="00E74A84">
      <w:pPr>
        <w:pStyle w:val="Corpodetexto"/>
        <w:rPr>
          <w:rFonts w:ascii="Verdana" w:hAnsi="Verdana"/>
          <w:spacing w:val="-2"/>
          <w:sz w:val="18"/>
          <w:szCs w:val="18"/>
        </w:rPr>
      </w:pPr>
    </w:p>
    <w:p w14:paraId="17696203" w14:textId="65F87C8B" w:rsidR="009D2D99" w:rsidRPr="00D477EC" w:rsidRDefault="009D2D99" w:rsidP="00E74A84">
      <w:pPr>
        <w:pStyle w:val="Corpodetexto"/>
        <w:rPr>
          <w:rFonts w:ascii="Verdana" w:hAnsi="Verdana"/>
          <w:spacing w:val="-2"/>
          <w:sz w:val="18"/>
          <w:szCs w:val="18"/>
        </w:rPr>
      </w:pPr>
    </w:p>
    <w:p w14:paraId="2E46C0CD" w14:textId="15A091C8" w:rsidR="00C61B8C" w:rsidRPr="00D477EC" w:rsidRDefault="00C61B8C" w:rsidP="00E74A84">
      <w:pPr>
        <w:pStyle w:val="Corpodetexto"/>
        <w:rPr>
          <w:rFonts w:ascii="Verdana" w:hAnsi="Verdana"/>
          <w:spacing w:val="-2"/>
          <w:sz w:val="18"/>
          <w:szCs w:val="18"/>
        </w:rPr>
      </w:pPr>
    </w:p>
    <w:p w14:paraId="5C3DF44B" w14:textId="1A3B6764" w:rsidR="00743F63" w:rsidRPr="00D477EC" w:rsidRDefault="00743F63" w:rsidP="00E74A84">
      <w:pPr>
        <w:pStyle w:val="Corpodetexto"/>
        <w:rPr>
          <w:rFonts w:ascii="Verdana" w:hAnsi="Verdana"/>
          <w:spacing w:val="-2"/>
          <w:sz w:val="18"/>
          <w:szCs w:val="18"/>
        </w:rPr>
        <w:sectPr w:rsidR="00743F63" w:rsidRPr="00D477EC" w:rsidSect="00BC7FCA">
          <w:headerReference w:type="default" r:id="rId8"/>
          <w:footerReference w:type="default" r:id="rId9"/>
          <w:pgSz w:w="11900" w:h="16820"/>
          <w:pgMar w:top="720" w:right="720" w:bottom="720" w:left="720" w:header="0" w:footer="720" w:gutter="0"/>
          <w:pgNumType w:start="1"/>
          <w:cols w:space="720"/>
          <w:docGrid w:linePitch="299"/>
        </w:sectPr>
      </w:pPr>
    </w:p>
    <w:p w14:paraId="68A64C25" w14:textId="4B45B52F" w:rsidR="00BB7055" w:rsidRPr="00D477EC" w:rsidRDefault="00BB7055">
      <w:pPr>
        <w:spacing w:after="160" w:line="259" w:lineRule="auto"/>
        <w:rPr>
          <w:rFonts w:asciiTheme="minorHAnsi" w:hAnsiTheme="minorHAnsi" w:cstheme="minorHAnsi"/>
          <w:sz w:val="36"/>
          <w:szCs w:val="24"/>
        </w:rPr>
      </w:pPr>
    </w:p>
    <w:sdt>
      <w:sdtPr>
        <w:rPr>
          <w:rFonts w:asciiTheme="minorHAnsi" w:eastAsia="Arial" w:hAnsiTheme="minorHAnsi" w:cs="Arial"/>
          <w:color w:val="auto"/>
          <w:sz w:val="36"/>
          <w:szCs w:val="22"/>
        </w:rPr>
        <w:id w:val="-1411374382"/>
        <w:docPartObj>
          <w:docPartGallery w:val="Table of Contents"/>
          <w:docPartUnique/>
        </w:docPartObj>
      </w:sdtPr>
      <w:sdtEndPr>
        <w:rPr>
          <w:b/>
          <w:bCs/>
          <w:sz w:val="22"/>
        </w:rPr>
      </w:sdtEndPr>
      <w:sdtContent>
        <w:p w14:paraId="4EC426BE" w14:textId="77777777" w:rsidR="0012080A" w:rsidRPr="00D477EC" w:rsidRDefault="00BB7055" w:rsidP="00C869C0">
          <w:pPr>
            <w:pStyle w:val="CabealhodoSumrio"/>
            <w:spacing w:line="360" w:lineRule="auto"/>
            <w:rPr>
              <w:rFonts w:asciiTheme="minorHAnsi" w:hAnsiTheme="minorHAnsi"/>
              <w:b/>
              <w:color w:val="auto"/>
              <w:sz w:val="24"/>
              <w:szCs w:val="24"/>
            </w:rPr>
          </w:pPr>
          <w:r w:rsidRPr="00D477EC">
            <w:rPr>
              <w:rFonts w:asciiTheme="minorHAnsi" w:hAnsiTheme="minorHAnsi"/>
              <w:b/>
              <w:color w:val="auto"/>
              <w:sz w:val="24"/>
              <w:szCs w:val="24"/>
            </w:rPr>
            <w:t>SUMÁRIO</w:t>
          </w:r>
        </w:p>
        <w:p w14:paraId="560F382A" w14:textId="77777777" w:rsidR="00C869C0" w:rsidRPr="00D477EC" w:rsidRDefault="00C869C0" w:rsidP="00C869C0"/>
        <w:p w14:paraId="20EA87BD" w14:textId="48D1B02C" w:rsidR="00C869C0" w:rsidRPr="00D477EC" w:rsidRDefault="0012080A" w:rsidP="00C869C0">
          <w:pPr>
            <w:pStyle w:val="Sumrio1"/>
            <w:tabs>
              <w:tab w:val="right" w:leader="dot" w:pos="8552"/>
            </w:tabs>
            <w:spacing w:line="360" w:lineRule="auto"/>
            <w:rPr>
              <w:rFonts w:asciiTheme="minorHAnsi" w:eastAsiaTheme="minorEastAsia" w:hAnsiTheme="minorHAnsi" w:cstheme="minorBidi"/>
              <w:noProof/>
              <w:sz w:val="24"/>
              <w:szCs w:val="24"/>
            </w:rPr>
          </w:pPr>
          <w:r w:rsidRPr="00D477EC">
            <w:rPr>
              <w:rFonts w:asciiTheme="minorHAnsi" w:hAnsiTheme="minorHAnsi"/>
              <w:sz w:val="24"/>
              <w:szCs w:val="24"/>
            </w:rPr>
            <w:fldChar w:fldCharType="begin"/>
          </w:r>
          <w:r w:rsidRPr="00D477EC">
            <w:rPr>
              <w:rFonts w:asciiTheme="minorHAnsi" w:hAnsiTheme="minorHAnsi"/>
              <w:sz w:val="24"/>
              <w:szCs w:val="24"/>
            </w:rPr>
            <w:instrText xml:space="preserve"> TOC \o "1-3" \h \z \u </w:instrText>
          </w:r>
          <w:r w:rsidRPr="00D477EC">
            <w:rPr>
              <w:rFonts w:asciiTheme="minorHAnsi" w:hAnsiTheme="minorHAnsi"/>
              <w:sz w:val="24"/>
              <w:szCs w:val="24"/>
            </w:rPr>
            <w:fldChar w:fldCharType="separate"/>
          </w:r>
          <w:hyperlink w:anchor="_Toc220061109" w:history="1">
            <w:r w:rsidR="00C869C0" w:rsidRPr="00D477EC">
              <w:rPr>
                <w:rStyle w:val="Hyperlink"/>
                <w:rFonts w:asciiTheme="minorHAnsi" w:hAnsiTheme="minorHAnsi"/>
                <w:noProof/>
                <w:color w:val="auto"/>
                <w:sz w:val="24"/>
                <w:szCs w:val="24"/>
              </w:rPr>
              <w:t>INTRODUÇÃO</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_Toc220061109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3</w:t>
            </w:r>
            <w:r w:rsidR="00C869C0" w:rsidRPr="00D477EC">
              <w:rPr>
                <w:rFonts w:asciiTheme="minorHAnsi" w:hAnsiTheme="minorHAnsi"/>
                <w:noProof/>
                <w:webHidden/>
                <w:sz w:val="24"/>
                <w:szCs w:val="24"/>
              </w:rPr>
              <w:fldChar w:fldCharType="end"/>
            </w:r>
          </w:hyperlink>
        </w:p>
        <w:p w14:paraId="60662763" w14:textId="1B579035" w:rsidR="00C869C0" w:rsidRPr="00D477EC" w:rsidRDefault="001308AF" w:rsidP="00C869C0">
          <w:pPr>
            <w:pStyle w:val="Sumrio1"/>
            <w:tabs>
              <w:tab w:val="left" w:pos="440"/>
              <w:tab w:val="right" w:leader="dot" w:pos="8552"/>
            </w:tabs>
            <w:spacing w:line="360" w:lineRule="auto"/>
            <w:rPr>
              <w:rFonts w:asciiTheme="minorHAnsi" w:eastAsiaTheme="minorEastAsia" w:hAnsiTheme="minorHAnsi" w:cstheme="minorBidi"/>
              <w:noProof/>
              <w:sz w:val="24"/>
              <w:szCs w:val="24"/>
            </w:rPr>
          </w:pPr>
          <w:hyperlink w:anchor="_Toc220061110" w:history="1">
            <w:r w:rsidR="00C869C0" w:rsidRPr="00D477EC">
              <w:rPr>
                <w:rStyle w:val="Hyperlink"/>
                <w:rFonts w:asciiTheme="minorHAnsi" w:hAnsiTheme="minorHAnsi"/>
                <w:noProof/>
                <w:color w:val="auto"/>
                <w:sz w:val="24"/>
                <w:szCs w:val="24"/>
              </w:rPr>
              <w:t>1.</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PRINCÍPIOS E OBJETIVOS DA GESTÃO DE RISCOS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_Toc220061110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4</w:t>
            </w:r>
            <w:r w:rsidR="00C869C0" w:rsidRPr="00D477EC">
              <w:rPr>
                <w:rFonts w:asciiTheme="minorHAnsi" w:hAnsiTheme="minorHAnsi"/>
                <w:noProof/>
                <w:webHidden/>
                <w:sz w:val="24"/>
                <w:szCs w:val="24"/>
              </w:rPr>
              <w:fldChar w:fldCharType="end"/>
            </w:r>
          </w:hyperlink>
        </w:p>
        <w:p w14:paraId="4A01F6FA" w14:textId="11130476" w:rsidR="00C869C0" w:rsidRPr="00D477EC" w:rsidRDefault="001308AF" w:rsidP="00C869C0">
          <w:pPr>
            <w:pStyle w:val="Sumrio1"/>
            <w:tabs>
              <w:tab w:val="left" w:pos="440"/>
              <w:tab w:val="right" w:leader="dot" w:pos="8552"/>
            </w:tabs>
            <w:spacing w:line="360" w:lineRule="auto"/>
            <w:rPr>
              <w:rFonts w:asciiTheme="minorHAnsi" w:eastAsiaTheme="minorEastAsia" w:hAnsiTheme="minorHAnsi" w:cstheme="minorBidi"/>
              <w:noProof/>
              <w:sz w:val="24"/>
              <w:szCs w:val="24"/>
            </w:rPr>
          </w:pPr>
          <w:hyperlink w:anchor="_Toc220061111" w:history="1">
            <w:r w:rsidR="00C869C0" w:rsidRPr="00D477EC">
              <w:rPr>
                <w:rStyle w:val="Hyperlink"/>
                <w:rFonts w:asciiTheme="minorHAnsi" w:hAnsiTheme="minorHAnsi"/>
                <w:noProof/>
                <w:color w:val="auto"/>
                <w:sz w:val="24"/>
                <w:szCs w:val="24"/>
              </w:rPr>
              <w:t>2.</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RESPONSÁVEIS PELA GESTÃO DE RISCOS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_Toc220061111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5</w:t>
            </w:r>
            <w:r w:rsidR="00C869C0" w:rsidRPr="00D477EC">
              <w:rPr>
                <w:rFonts w:asciiTheme="minorHAnsi" w:hAnsiTheme="minorHAnsi"/>
                <w:noProof/>
                <w:webHidden/>
                <w:sz w:val="24"/>
                <w:szCs w:val="24"/>
              </w:rPr>
              <w:fldChar w:fldCharType="end"/>
            </w:r>
          </w:hyperlink>
        </w:p>
        <w:p w14:paraId="486CB1E2" w14:textId="64302F8C" w:rsidR="00C869C0" w:rsidRPr="00D477EC" w:rsidRDefault="001308AF" w:rsidP="00C869C0">
          <w:pPr>
            <w:pStyle w:val="Sumrio1"/>
            <w:tabs>
              <w:tab w:val="left" w:pos="440"/>
              <w:tab w:val="right" w:leader="dot" w:pos="8552"/>
            </w:tabs>
            <w:spacing w:line="360" w:lineRule="auto"/>
            <w:rPr>
              <w:rFonts w:asciiTheme="minorHAnsi" w:eastAsiaTheme="minorEastAsia" w:hAnsiTheme="minorHAnsi" w:cstheme="minorBidi"/>
              <w:noProof/>
              <w:sz w:val="24"/>
              <w:szCs w:val="24"/>
            </w:rPr>
          </w:pPr>
          <w:hyperlink w:anchor="_Toc220061112" w:history="1">
            <w:r w:rsidR="00C869C0" w:rsidRPr="00D477EC">
              <w:rPr>
                <w:rStyle w:val="Hyperlink"/>
                <w:rFonts w:asciiTheme="minorHAnsi" w:hAnsiTheme="minorHAnsi"/>
                <w:noProof/>
                <w:color w:val="auto"/>
                <w:sz w:val="24"/>
                <w:szCs w:val="24"/>
              </w:rPr>
              <w:t>3.</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ETAPAS DA GESTÃO DE RISCOS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_Toc220061112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6</w:t>
            </w:r>
            <w:r w:rsidR="00C869C0" w:rsidRPr="00D477EC">
              <w:rPr>
                <w:rFonts w:asciiTheme="minorHAnsi" w:hAnsiTheme="minorHAnsi"/>
                <w:noProof/>
                <w:webHidden/>
                <w:sz w:val="24"/>
                <w:szCs w:val="24"/>
              </w:rPr>
              <w:fldChar w:fldCharType="end"/>
            </w:r>
          </w:hyperlink>
        </w:p>
        <w:p w14:paraId="0CF0F582" w14:textId="4A99A261" w:rsidR="00C869C0" w:rsidRPr="00D477EC" w:rsidRDefault="001308AF" w:rsidP="00C869C0">
          <w:pPr>
            <w:pStyle w:val="Sumrio1"/>
            <w:tabs>
              <w:tab w:val="left" w:pos="660"/>
              <w:tab w:val="right" w:leader="dot" w:pos="8552"/>
            </w:tabs>
            <w:spacing w:line="360" w:lineRule="auto"/>
            <w:rPr>
              <w:rFonts w:asciiTheme="minorHAnsi" w:eastAsiaTheme="minorEastAsia" w:hAnsiTheme="minorHAnsi" w:cstheme="minorBidi"/>
              <w:noProof/>
              <w:sz w:val="24"/>
              <w:szCs w:val="24"/>
            </w:rPr>
          </w:pPr>
          <w:hyperlink w:anchor="_Toc220061113" w:history="1">
            <w:r w:rsidR="00C869C0" w:rsidRPr="00D477EC">
              <w:rPr>
                <w:rStyle w:val="Hyperlink"/>
                <w:rFonts w:asciiTheme="minorHAnsi" w:hAnsiTheme="minorHAnsi"/>
                <w:noProof/>
                <w:color w:val="auto"/>
                <w:sz w:val="24"/>
                <w:szCs w:val="24"/>
              </w:rPr>
              <w:t>3.1.</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Estruturação da Gestão de Riscos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_Toc220061113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7</w:t>
            </w:r>
            <w:r w:rsidR="00C869C0" w:rsidRPr="00D477EC">
              <w:rPr>
                <w:rFonts w:asciiTheme="minorHAnsi" w:hAnsiTheme="minorHAnsi"/>
                <w:noProof/>
                <w:webHidden/>
                <w:sz w:val="24"/>
                <w:szCs w:val="24"/>
              </w:rPr>
              <w:fldChar w:fldCharType="end"/>
            </w:r>
          </w:hyperlink>
        </w:p>
        <w:p w14:paraId="13073DDE" w14:textId="617EDEFB" w:rsidR="00C869C0" w:rsidRPr="00D477EC" w:rsidRDefault="001308AF" w:rsidP="00C869C0">
          <w:pPr>
            <w:pStyle w:val="Sumrio1"/>
            <w:tabs>
              <w:tab w:val="left" w:pos="880"/>
              <w:tab w:val="right" w:leader="dot" w:pos="8552"/>
            </w:tabs>
            <w:spacing w:line="360" w:lineRule="auto"/>
            <w:rPr>
              <w:rFonts w:asciiTheme="minorHAnsi" w:eastAsiaTheme="minorEastAsia" w:hAnsiTheme="minorHAnsi" w:cstheme="minorBidi"/>
              <w:noProof/>
              <w:sz w:val="24"/>
              <w:szCs w:val="24"/>
            </w:rPr>
          </w:pPr>
          <w:hyperlink w:anchor="_Toc220061114" w:history="1">
            <w:r w:rsidR="00C869C0" w:rsidRPr="00D477EC">
              <w:rPr>
                <w:rStyle w:val="Hyperlink"/>
                <w:rFonts w:asciiTheme="minorHAnsi" w:hAnsiTheme="minorHAnsi"/>
                <w:noProof/>
                <w:color w:val="auto"/>
                <w:sz w:val="24"/>
                <w:szCs w:val="24"/>
              </w:rPr>
              <w:t>3.1.1.</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Autoavaliação da Maturidade em Gestão de Risco</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_Toc220061114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7</w:t>
            </w:r>
            <w:r w:rsidR="00C869C0" w:rsidRPr="00D477EC">
              <w:rPr>
                <w:rFonts w:asciiTheme="minorHAnsi" w:hAnsiTheme="minorHAnsi"/>
                <w:noProof/>
                <w:webHidden/>
                <w:sz w:val="24"/>
                <w:szCs w:val="24"/>
              </w:rPr>
              <w:fldChar w:fldCharType="end"/>
            </w:r>
          </w:hyperlink>
        </w:p>
        <w:p w14:paraId="17DD259F" w14:textId="5394EC16" w:rsidR="00C869C0" w:rsidRPr="00D477EC" w:rsidRDefault="001308AF" w:rsidP="00C869C0">
          <w:pPr>
            <w:pStyle w:val="Sumrio1"/>
            <w:tabs>
              <w:tab w:val="left" w:pos="880"/>
              <w:tab w:val="right" w:leader="dot" w:pos="8552"/>
            </w:tabs>
            <w:spacing w:line="360" w:lineRule="auto"/>
            <w:rPr>
              <w:rFonts w:asciiTheme="minorHAnsi" w:eastAsiaTheme="minorEastAsia" w:hAnsiTheme="minorHAnsi" w:cstheme="minorBidi"/>
              <w:noProof/>
              <w:sz w:val="24"/>
              <w:szCs w:val="24"/>
            </w:rPr>
          </w:pPr>
          <w:hyperlink w:anchor="_Toc220061115" w:history="1">
            <w:r w:rsidR="00C869C0" w:rsidRPr="00D477EC">
              <w:rPr>
                <w:rStyle w:val="Hyperlink"/>
                <w:rFonts w:asciiTheme="minorHAnsi" w:hAnsiTheme="minorHAnsi"/>
                <w:noProof/>
                <w:color w:val="auto"/>
                <w:sz w:val="24"/>
                <w:szCs w:val="24"/>
              </w:rPr>
              <w:t>3.1.2.</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Declaração de Apetite a Riscos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_Toc220061115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7</w:t>
            </w:r>
            <w:r w:rsidR="00C869C0" w:rsidRPr="00D477EC">
              <w:rPr>
                <w:rFonts w:asciiTheme="minorHAnsi" w:hAnsiTheme="minorHAnsi"/>
                <w:noProof/>
                <w:webHidden/>
                <w:sz w:val="24"/>
                <w:szCs w:val="24"/>
              </w:rPr>
              <w:fldChar w:fldCharType="end"/>
            </w:r>
          </w:hyperlink>
        </w:p>
        <w:p w14:paraId="19F9128A" w14:textId="7B8EFB99" w:rsidR="00C869C0" w:rsidRPr="00D477EC" w:rsidRDefault="001308AF" w:rsidP="00C869C0">
          <w:pPr>
            <w:pStyle w:val="Sumrio1"/>
            <w:tabs>
              <w:tab w:val="left" w:pos="660"/>
              <w:tab w:val="right" w:leader="dot" w:pos="8552"/>
            </w:tabs>
            <w:spacing w:line="360" w:lineRule="auto"/>
            <w:rPr>
              <w:rFonts w:asciiTheme="minorHAnsi" w:eastAsiaTheme="minorEastAsia" w:hAnsiTheme="minorHAnsi" w:cstheme="minorBidi"/>
              <w:noProof/>
              <w:sz w:val="24"/>
              <w:szCs w:val="24"/>
            </w:rPr>
          </w:pPr>
          <w:hyperlink w:anchor="_Toc220061116" w:history="1">
            <w:r w:rsidR="00C869C0" w:rsidRPr="00D477EC">
              <w:rPr>
                <w:rStyle w:val="Hyperlink"/>
                <w:rFonts w:asciiTheme="minorHAnsi" w:hAnsiTheme="minorHAnsi"/>
                <w:noProof/>
                <w:color w:val="auto"/>
                <w:sz w:val="24"/>
                <w:szCs w:val="24"/>
              </w:rPr>
              <w:t>3.2.</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Identificação e Priorização de Processos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_Toc220061116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7</w:t>
            </w:r>
            <w:r w:rsidR="00C869C0" w:rsidRPr="00D477EC">
              <w:rPr>
                <w:rFonts w:asciiTheme="minorHAnsi" w:hAnsiTheme="minorHAnsi"/>
                <w:noProof/>
                <w:webHidden/>
                <w:sz w:val="24"/>
                <w:szCs w:val="24"/>
              </w:rPr>
              <w:fldChar w:fldCharType="end"/>
            </w:r>
          </w:hyperlink>
        </w:p>
        <w:p w14:paraId="03490071" w14:textId="25904A67" w:rsidR="00C869C0" w:rsidRPr="00D477EC" w:rsidRDefault="001308AF" w:rsidP="00C869C0">
          <w:pPr>
            <w:pStyle w:val="Sumrio1"/>
            <w:tabs>
              <w:tab w:val="left" w:pos="660"/>
              <w:tab w:val="right" w:leader="dot" w:pos="8552"/>
            </w:tabs>
            <w:spacing w:line="360" w:lineRule="auto"/>
            <w:rPr>
              <w:rFonts w:asciiTheme="minorHAnsi" w:eastAsiaTheme="minorEastAsia" w:hAnsiTheme="minorHAnsi" w:cstheme="minorBidi"/>
              <w:noProof/>
              <w:sz w:val="24"/>
              <w:szCs w:val="24"/>
            </w:rPr>
          </w:pPr>
          <w:hyperlink w:anchor="_Toc220061117" w:history="1">
            <w:r w:rsidR="00C869C0" w:rsidRPr="00D477EC">
              <w:rPr>
                <w:rStyle w:val="Hyperlink"/>
                <w:rFonts w:asciiTheme="minorHAnsi" w:hAnsiTheme="minorHAnsi"/>
                <w:noProof/>
                <w:color w:val="auto"/>
                <w:sz w:val="24"/>
                <w:szCs w:val="24"/>
              </w:rPr>
              <w:t>3.3.</w:t>
            </w:r>
            <w:r w:rsidR="00C869C0" w:rsidRPr="00D477EC">
              <w:rPr>
                <w:rFonts w:asciiTheme="minorHAnsi" w:eastAsiaTheme="minorEastAsia" w:hAnsiTheme="minorHAnsi" w:cstheme="minorBidi"/>
                <w:noProof/>
                <w:sz w:val="24"/>
                <w:szCs w:val="24"/>
              </w:rPr>
              <w:tab/>
            </w:r>
            <w:r w:rsidR="00C869C0" w:rsidRPr="00D477EC">
              <w:rPr>
                <w:rStyle w:val="Hyperlink"/>
                <w:rFonts w:asciiTheme="minorHAnsi" w:hAnsiTheme="minorHAnsi"/>
                <w:noProof/>
                <w:color w:val="auto"/>
                <w:sz w:val="24"/>
                <w:szCs w:val="24"/>
              </w:rPr>
              <w:t>Gerenciamento de Riscos</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_Toc220061117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8</w:t>
            </w:r>
            <w:r w:rsidR="00C869C0" w:rsidRPr="00D477EC">
              <w:rPr>
                <w:rFonts w:asciiTheme="minorHAnsi" w:hAnsiTheme="minorHAnsi"/>
                <w:noProof/>
                <w:webHidden/>
                <w:sz w:val="24"/>
                <w:szCs w:val="24"/>
              </w:rPr>
              <w:fldChar w:fldCharType="end"/>
            </w:r>
          </w:hyperlink>
        </w:p>
        <w:p w14:paraId="22A2AD65" w14:textId="61A3BA35" w:rsidR="00C869C0" w:rsidRPr="00D477EC" w:rsidRDefault="001308AF" w:rsidP="00C869C0">
          <w:pPr>
            <w:pStyle w:val="Sumrio1"/>
            <w:tabs>
              <w:tab w:val="right" w:leader="dot" w:pos="8552"/>
            </w:tabs>
            <w:spacing w:line="360" w:lineRule="auto"/>
            <w:rPr>
              <w:rFonts w:asciiTheme="minorHAnsi" w:eastAsiaTheme="minorEastAsia" w:hAnsiTheme="minorHAnsi" w:cstheme="minorBidi"/>
              <w:noProof/>
              <w:sz w:val="24"/>
              <w:szCs w:val="24"/>
            </w:rPr>
          </w:pPr>
          <w:hyperlink w:anchor="_Toc220061118" w:history="1">
            <w:r w:rsidR="00C869C0" w:rsidRPr="00D477EC">
              <w:rPr>
                <w:rStyle w:val="Hyperlink"/>
                <w:rFonts w:asciiTheme="minorHAnsi" w:hAnsiTheme="minorHAnsi"/>
                <w:noProof/>
                <w:color w:val="auto"/>
                <w:sz w:val="24"/>
                <w:szCs w:val="24"/>
              </w:rPr>
              <w:t>CONCLUSÃO</w:t>
            </w:r>
            <w:r w:rsidR="00C869C0" w:rsidRPr="00D477EC">
              <w:rPr>
                <w:rFonts w:asciiTheme="minorHAnsi" w:hAnsiTheme="minorHAnsi"/>
                <w:noProof/>
                <w:webHidden/>
                <w:sz w:val="24"/>
                <w:szCs w:val="24"/>
              </w:rPr>
              <w:tab/>
            </w:r>
            <w:r w:rsidR="00C869C0" w:rsidRPr="00D477EC">
              <w:rPr>
                <w:rFonts w:asciiTheme="minorHAnsi" w:hAnsiTheme="minorHAnsi"/>
                <w:noProof/>
                <w:webHidden/>
                <w:sz w:val="24"/>
                <w:szCs w:val="24"/>
              </w:rPr>
              <w:fldChar w:fldCharType="begin"/>
            </w:r>
            <w:r w:rsidR="00C869C0" w:rsidRPr="00D477EC">
              <w:rPr>
                <w:rFonts w:asciiTheme="minorHAnsi" w:hAnsiTheme="minorHAnsi"/>
                <w:noProof/>
                <w:webHidden/>
                <w:sz w:val="24"/>
                <w:szCs w:val="24"/>
              </w:rPr>
              <w:instrText xml:space="preserve"> PAGEREF _Toc220061118 \h </w:instrText>
            </w:r>
            <w:r w:rsidR="00C869C0" w:rsidRPr="00D477EC">
              <w:rPr>
                <w:rFonts w:asciiTheme="minorHAnsi" w:hAnsiTheme="minorHAnsi"/>
                <w:noProof/>
                <w:webHidden/>
                <w:sz w:val="24"/>
                <w:szCs w:val="24"/>
              </w:rPr>
            </w:r>
            <w:r w:rsidR="00C869C0" w:rsidRPr="00D477EC">
              <w:rPr>
                <w:rFonts w:asciiTheme="minorHAnsi" w:hAnsiTheme="minorHAnsi"/>
                <w:noProof/>
                <w:webHidden/>
                <w:sz w:val="24"/>
                <w:szCs w:val="24"/>
              </w:rPr>
              <w:fldChar w:fldCharType="separate"/>
            </w:r>
            <w:r w:rsidR="003D2C58">
              <w:rPr>
                <w:rFonts w:asciiTheme="minorHAnsi" w:hAnsiTheme="minorHAnsi"/>
                <w:noProof/>
                <w:webHidden/>
                <w:sz w:val="24"/>
                <w:szCs w:val="24"/>
              </w:rPr>
              <w:t>9</w:t>
            </w:r>
            <w:r w:rsidR="00C869C0" w:rsidRPr="00D477EC">
              <w:rPr>
                <w:rFonts w:asciiTheme="minorHAnsi" w:hAnsiTheme="minorHAnsi"/>
                <w:noProof/>
                <w:webHidden/>
                <w:sz w:val="24"/>
                <w:szCs w:val="24"/>
              </w:rPr>
              <w:fldChar w:fldCharType="end"/>
            </w:r>
          </w:hyperlink>
        </w:p>
        <w:p w14:paraId="55E2B3F7" w14:textId="2D9A0F94" w:rsidR="0012080A" w:rsidRPr="00D477EC" w:rsidRDefault="0012080A" w:rsidP="00C869C0">
          <w:pPr>
            <w:spacing w:line="360" w:lineRule="auto"/>
            <w:rPr>
              <w:rFonts w:asciiTheme="minorHAnsi" w:hAnsiTheme="minorHAnsi"/>
            </w:rPr>
          </w:pPr>
          <w:r w:rsidRPr="00D477EC">
            <w:rPr>
              <w:rFonts w:asciiTheme="minorHAnsi" w:hAnsiTheme="minorHAnsi"/>
              <w:b/>
              <w:bCs/>
              <w:sz w:val="24"/>
              <w:szCs w:val="24"/>
            </w:rPr>
            <w:fldChar w:fldCharType="end"/>
          </w:r>
        </w:p>
      </w:sdtContent>
    </w:sdt>
    <w:p w14:paraId="751EE504" w14:textId="77777777" w:rsidR="0012080A" w:rsidRPr="00D477EC" w:rsidRDefault="0012080A">
      <w:pPr>
        <w:spacing w:after="160" w:line="259" w:lineRule="auto"/>
        <w:rPr>
          <w:rFonts w:asciiTheme="minorHAnsi" w:eastAsiaTheme="majorEastAsia" w:hAnsiTheme="minorHAnsi" w:cstheme="minorHAnsi"/>
          <w:b/>
          <w:sz w:val="24"/>
          <w:szCs w:val="24"/>
        </w:rPr>
      </w:pPr>
      <w:r w:rsidRPr="00D477EC">
        <w:rPr>
          <w:rFonts w:asciiTheme="minorHAnsi" w:hAnsiTheme="minorHAnsi"/>
        </w:rPr>
        <w:br w:type="page"/>
      </w:r>
    </w:p>
    <w:p w14:paraId="3D44C5EF" w14:textId="77777777" w:rsidR="0012080A" w:rsidRPr="00D477EC" w:rsidRDefault="0012080A" w:rsidP="0012080A">
      <w:pPr>
        <w:pStyle w:val="Ttulo10"/>
      </w:pPr>
      <w:bookmarkStart w:id="1" w:name="_Toc220061109"/>
      <w:r w:rsidRPr="00D477EC">
        <w:lastRenderedPageBreak/>
        <w:t>INTRODUÇÃO</w:t>
      </w:r>
      <w:bookmarkEnd w:id="1"/>
    </w:p>
    <w:p w14:paraId="126A48DB" w14:textId="63139FE4" w:rsidR="00A7663A" w:rsidRPr="00D477EC" w:rsidRDefault="00A7663A" w:rsidP="00914AF4">
      <w:pPr>
        <w:pStyle w:val="Corpo"/>
        <w:rPr>
          <w:color w:val="auto"/>
        </w:rPr>
      </w:pPr>
      <w:r w:rsidRPr="00D477EC">
        <w:rPr>
          <w:color w:val="auto"/>
        </w:rPr>
        <w:t xml:space="preserve">A </w:t>
      </w:r>
      <w:r w:rsidR="00914AF4" w:rsidRPr="00D477EC">
        <w:rPr>
          <w:color w:val="auto"/>
        </w:rPr>
        <w:t>Fundação de Desporto e Lazer de Mato Grosso do Sul</w:t>
      </w:r>
      <w:r w:rsidRPr="00D477EC">
        <w:rPr>
          <w:color w:val="auto"/>
        </w:rPr>
        <w:t xml:space="preserve">, tem por competência </w:t>
      </w:r>
      <w:r w:rsidR="00914AF4" w:rsidRPr="00D477EC">
        <w:rPr>
          <w:color w:val="auto"/>
        </w:rPr>
        <w:t>formular e difundir as políticas públicas e diretrizes governamentais voltadas ao esporte e ao lazer em Mato Grosso do Sul, fomentar programas, projetos e ações, apoiando medidas que ampliem a prática esportiva, a recreação, o lazer e a atividade física, em favor da saúde e do bem-estar da população, além de exercer outras atribuições legais.</w:t>
      </w:r>
    </w:p>
    <w:p w14:paraId="1279A3AC" w14:textId="25547A5F" w:rsidR="00A7663A" w:rsidRPr="00D477EC" w:rsidRDefault="00A7663A" w:rsidP="00A7663A">
      <w:pPr>
        <w:pStyle w:val="Corpo"/>
        <w:rPr>
          <w:color w:val="auto"/>
        </w:rPr>
      </w:pPr>
      <w:r w:rsidRPr="00D477EC">
        <w:rPr>
          <w:color w:val="auto"/>
        </w:rPr>
        <w:t xml:space="preserve">Sua </w:t>
      </w:r>
      <w:r w:rsidRPr="00D477EC">
        <w:rPr>
          <w:b/>
          <w:i/>
          <w:color w:val="auto"/>
        </w:rPr>
        <w:t>missão</w:t>
      </w:r>
      <w:r w:rsidRPr="00D477EC">
        <w:rPr>
          <w:color w:val="auto"/>
        </w:rPr>
        <w:t xml:space="preserve"> </w:t>
      </w:r>
      <w:r w:rsidR="00914AF4" w:rsidRPr="00D477EC">
        <w:rPr>
          <w:color w:val="auto"/>
        </w:rPr>
        <w:t>proporcionar a universalização do acesso à prática da atividade física, esporte e lazer, democratizando as ações, promovendo a inclusão social e qualidade de vida, garantindo melhores condições de saúde, pleno exercício da cidadania e propiciando condições para o bem-estar físico, mental e social da população através do esporte.</w:t>
      </w:r>
    </w:p>
    <w:p w14:paraId="5F88B41B" w14:textId="13F2EF3D" w:rsidR="00A7663A" w:rsidRPr="00D477EC" w:rsidRDefault="00A7663A" w:rsidP="00A7663A">
      <w:pPr>
        <w:pStyle w:val="Corpo"/>
        <w:rPr>
          <w:color w:val="auto"/>
        </w:rPr>
      </w:pPr>
      <w:r w:rsidRPr="00D477EC">
        <w:rPr>
          <w:color w:val="auto"/>
        </w:rPr>
        <w:t xml:space="preserve"> Sua </w:t>
      </w:r>
      <w:r w:rsidRPr="00D477EC">
        <w:rPr>
          <w:b/>
          <w:i/>
          <w:color w:val="auto"/>
        </w:rPr>
        <w:t>visão</w:t>
      </w:r>
      <w:r w:rsidRPr="00D477EC">
        <w:rPr>
          <w:color w:val="auto"/>
        </w:rPr>
        <w:t xml:space="preserve"> </w:t>
      </w:r>
      <w:r w:rsidR="00914AF4" w:rsidRPr="00D477EC">
        <w:rPr>
          <w:color w:val="auto"/>
        </w:rPr>
        <w:t>consiste consolidar o esporte como direito de todos, destacando o Estado de Mato Grosso do Sul no cenário nacional como referência e exemplo na garantia da execução de políticas públicas inovadoras de esporte e lazer para a valorização das pessoas.</w:t>
      </w:r>
    </w:p>
    <w:p w14:paraId="1A72599C" w14:textId="26EC6E22" w:rsidR="00A7663A" w:rsidRPr="00D477EC" w:rsidRDefault="00A7663A" w:rsidP="00A7663A">
      <w:pPr>
        <w:pStyle w:val="Corpo"/>
        <w:rPr>
          <w:color w:val="auto"/>
        </w:rPr>
      </w:pPr>
      <w:r w:rsidRPr="00D477EC">
        <w:rPr>
          <w:color w:val="auto"/>
        </w:rPr>
        <w:t xml:space="preserve"> Seus </w:t>
      </w:r>
      <w:r w:rsidRPr="00D477EC">
        <w:rPr>
          <w:b/>
          <w:i/>
          <w:color w:val="auto"/>
        </w:rPr>
        <w:t>valores</w:t>
      </w:r>
      <w:r w:rsidRPr="00D477EC">
        <w:rPr>
          <w:color w:val="auto"/>
        </w:rPr>
        <w:t xml:space="preserve"> </w:t>
      </w:r>
      <w:r w:rsidR="00B044F4" w:rsidRPr="00D477EC">
        <w:rPr>
          <w:color w:val="auto"/>
        </w:rPr>
        <w:t>são agir com legalidade, transparência, eficiência e respeito ao interesse público. Valorizamos a honestidade, a boa-fé, a imparcialidade e a integridade em todas as nossas ações. Cultivamos o respeito à diversidade, à equidade de oportunidades e à dignidade das pessoas. Buscamos a excelência na prestação dos serviços, com responsabilidade, equilíbrio, sustentabilidade e compromisso com um ambiente de trabalho seguro e ético.</w:t>
      </w:r>
    </w:p>
    <w:p w14:paraId="2FE47B6E" w14:textId="14361C53" w:rsidR="00A7663A" w:rsidRPr="00D477EC" w:rsidRDefault="00A7663A" w:rsidP="00A7663A">
      <w:pPr>
        <w:pStyle w:val="Corpo"/>
        <w:rPr>
          <w:color w:val="auto"/>
        </w:rPr>
      </w:pPr>
      <w:r w:rsidRPr="00D477EC">
        <w:rPr>
          <w:color w:val="auto"/>
        </w:rPr>
        <w:t>Considerando as diretrizes do planejamento estratégico do Poder Executivo Estadual</w:t>
      </w:r>
      <w:r w:rsidR="00556BD5" w:rsidRPr="00D477EC">
        <w:rPr>
          <w:color w:val="auto"/>
        </w:rPr>
        <w:t>,</w:t>
      </w:r>
      <w:r w:rsidRPr="00D477EC">
        <w:rPr>
          <w:color w:val="auto"/>
        </w:rPr>
        <w:t xml:space="preserve"> a </w:t>
      </w:r>
      <w:r w:rsidR="00B044F4" w:rsidRPr="00D477EC">
        <w:rPr>
          <w:color w:val="auto"/>
        </w:rPr>
        <w:t>Fundação de Desporto e Lazer de Mato Grosso do Sul</w:t>
      </w:r>
      <w:r w:rsidRPr="00D477EC">
        <w:rPr>
          <w:color w:val="auto"/>
        </w:rPr>
        <w:t xml:space="preserve"> reconhece a Gestão de Riscos como instrumento essencial de aperfeiçoamento institucional, destinado ao fortalecimento da governança, à melhoria da eficiência e da eficácia administrativas e à otimização dos resultados na prestação dos serviços públicos.</w:t>
      </w:r>
    </w:p>
    <w:p w14:paraId="6B6008EB" w14:textId="27A3B012" w:rsidR="0012080A" w:rsidRPr="00D477EC" w:rsidRDefault="00150407" w:rsidP="00C869C0">
      <w:pPr>
        <w:pStyle w:val="Corpo"/>
        <w:rPr>
          <w:color w:val="auto"/>
        </w:rPr>
      </w:pPr>
      <w:r w:rsidRPr="00D477EC">
        <w:rPr>
          <w:color w:val="auto"/>
        </w:rPr>
        <w:t xml:space="preserve">Nesse sentido, risco </w:t>
      </w:r>
      <w:r w:rsidR="0012080A" w:rsidRPr="00D477EC">
        <w:rPr>
          <w:color w:val="auto"/>
        </w:rPr>
        <w:t xml:space="preserve">é a possibilidade de ocorrência de eventos incertos que </w:t>
      </w:r>
      <w:r w:rsidR="0012080A" w:rsidRPr="00D477EC">
        <w:rPr>
          <w:color w:val="auto"/>
        </w:rPr>
        <w:lastRenderedPageBreak/>
        <w:t>possam impactar negativamente o alcance dos objetivos institucionais. A gestão de riscos, por sua vez, compreende os princípios, as estruturas e os processos que orientam a forma como a organização lida com os riscos, com vistas a fortalecer os controles internos, aprimorar a tomada de decisão e apoiar o alcance dos objetivos. O gerenciamento de riscos corresponde à dimensão operacional da gestão de riscos, ao traduzir essa abordagem estratégica em ações práticas, por meio da identificação, classificação, avaliação, tratamento, monitoramento e comunicação dos riscos.</w:t>
      </w:r>
    </w:p>
    <w:p w14:paraId="5E431708" w14:textId="162C2DDA" w:rsidR="0012080A" w:rsidRPr="00D477EC" w:rsidRDefault="00777066" w:rsidP="00C869C0">
      <w:pPr>
        <w:pStyle w:val="Corpo"/>
        <w:rPr>
          <w:color w:val="auto"/>
        </w:rPr>
      </w:pPr>
      <w:r w:rsidRPr="00D477EC">
        <w:rPr>
          <w:color w:val="auto"/>
        </w:rPr>
        <w:t>Já a</w:t>
      </w:r>
      <w:r w:rsidR="0012080A" w:rsidRPr="00D477EC">
        <w:rPr>
          <w:color w:val="auto"/>
        </w:rPr>
        <w:t xml:space="preserve"> Política de Gestão de Riscos (PGR) estabelece princípios, objetivos, responsabilidades e etapas da gestão de riscos. Tem como finalidade conferir clareza aos procedimentos, preservar o conhecimento institucional, fortalecer a confiança das partes interessadas, reforçar a cultura de riscos e promover a melhoria contínua dos processos, propiciando que os riscos sejam gerenciados de forma estruturada, integrada e transparente.</w:t>
      </w:r>
    </w:p>
    <w:p w14:paraId="4ED76AE4" w14:textId="0A58BC42" w:rsidR="0012080A" w:rsidRPr="00D477EC" w:rsidRDefault="0012080A" w:rsidP="00C869C0">
      <w:pPr>
        <w:pStyle w:val="Corpo"/>
        <w:rPr>
          <w:color w:val="auto"/>
        </w:rPr>
      </w:pPr>
      <w:r w:rsidRPr="00D477EC">
        <w:rPr>
          <w:color w:val="auto"/>
        </w:rPr>
        <w:t>Por fim, a efetividade desta Política depende do comprometimento da alta administração, da atuação coordenada dos responsáveis e da observância, por todos os agentes envolvidos, das atribuições que lhes cabem na gestão de riscos, em conformidade com as orientações da Controladoria-Geral do Estado de Mato Grosso do Sul (CGE-MS).</w:t>
      </w:r>
    </w:p>
    <w:p w14:paraId="392C96A1" w14:textId="77777777" w:rsidR="0012080A" w:rsidRPr="00D477EC" w:rsidRDefault="0012080A" w:rsidP="0012080A">
      <w:pPr>
        <w:pStyle w:val="Ttulo10"/>
        <w:numPr>
          <w:ilvl w:val="0"/>
          <w:numId w:val="7"/>
        </w:numPr>
      </w:pPr>
      <w:bookmarkStart w:id="2" w:name="_Toc220061110"/>
      <w:r w:rsidRPr="00D477EC">
        <w:t>PRINCÍPIOS E OBJETIVOS DA GESTÃO DE RISCOS</w:t>
      </w:r>
      <w:bookmarkEnd w:id="2"/>
    </w:p>
    <w:p w14:paraId="7E9B643E" w14:textId="77777777" w:rsidR="0012080A" w:rsidRPr="00D477EC" w:rsidRDefault="0012080A" w:rsidP="00C869C0">
      <w:pPr>
        <w:pStyle w:val="Corpo"/>
        <w:rPr>
          <w:color w:val="auto"/>
        </w:rPr>
      </w:pPr>
      <w:r w:rsidRPr="00D477EC">
        <w:rPr>
          <w:color w:val="auto"/>
        </w:rPr>
        <w:t xml:space="preserve">A gestão de riscos deve observar, no que couber, os seguintes princípios da Política de </w:t>
      </w:r>
      <w:r w:rsidRPr="00D477EC">
        <w:rPr>
          <w:i/>
          <w:color w:val="auto"/>
        </w:rPr>
        <w:t>Compliance</w:t>
      </w:r>
      <w:r w:rsidRPr="00D477EC">
        <w:rPr>
          <w:color w:val="auto"/>
        </w:rPr>
        <w:t xml:space="preserve"> Público:</w:t>
      </w:r>
    </w:p>
    <w:p w14:paraId="2A61A2D9"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integridade e atuação ética orientadas pelo interesse público;</w:t>
      </w:r>
    </w:p>
    <w:p w14:paraId="7EB13047"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prevenção;</w:t>
      </w:r>
    </w:p>
    <w:p w14:paraId="6E95FEA3"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transparência ativa;</w:t>
      </w:r>
    </w:p>
    <w:p w14:paraId="0B56B452"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comprometimento e liderança ética da alta administração;</w:t>
      </w:r>
    </w:p>
    <w:p w14:paraId="18506012"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integração da Gestão de Riscos aos processos;</w:t>
      </w:r>
    </w:p>
    <w:p w14:paraId="5E824171" w14:textId="1D77029F" w:rsidR="0012080A" w:rsidRPr="00D477EC" w:rsidRDefault="00924936"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melhoria c</w:t>
      </w:r>
      <w:r w:rsidR="0012080A" w:rsidRPr="00D477EC">
        <w:rPr>
          <w:rFonts w:asciiTheme="minorHAnsi" w:hAnsiTheme="minorHAnsi" w:cstheme="majorHAnsi"/>
          <w:sz w:val="24"/>
          <w:szCs w:val="24"/>
        </w:rPr>
        <w:t>ontínua;</w:t>
      </w:r>
    </w:p>
    <w:p w14:paraId="46158104"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tomada de Decisão Baseada em Evidências;</w:t>
      </w:r>
    </w:p>
    <w:p w14:paraId="42033EAF"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lastRenderedPageBreak/>
        <w:t>sustentabilidade; e</w:t>
      </w:r>
    </w:p>
    <w:p w14:paraId="11889D50"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participação do cidadão</w:t>
      </w:r>
      <w:r w:rsidRPr="00D477EC">
        <w:rPr>
          <w:rFonts w:asciiTheme="minorHAnsi" w:hAnsiTheme="minorHAnsi"/>
          <w:sz w:val="24"/>
          <w:szCs w:val="24"/>
        </w:rPr>
        <w:t xml:space="preserve"> e </w:t>
      </w:r>
      <w:r w:rsidRPr="00D477EC">
        <w:rPr>
          <w:rFonts w:asciiTheme="minorHAnsi" w:hAnsiTheme="minorHAnsi" w:cstheme="majorHAnsi"/>
          <w:sz w:val="24"/>
          <w:szCs w:val="24"/>
        </w:rPr>
        <w:t xml:space="preserve">controle social. </w:t>
      </w:r>
    </w:p>
    <w:p w14:paraId="4107C274" w14:textId="77777777" w:rsidR="0012080A" w:rsidRPr="00D477EC" w:rsidRDefault="0012080A" w:rsidP="00C869C0">
      <w:pPr>
        <w:pStyle w:val="Corpo"/>
        <w:rPr>
          <w:color w:val="auto"/>
        </w:rPr>
      </w:pPr>
      <w:r w:rsidRPr="00D477EC">
        <w:rPr>
          <w:color w:val="auto"/>
        </w:rPr>
        <w:t xml:space="preserve">Ademais, a gestão de riscos tem os seguintes objetivos: </w:t>
      </w:r>
    </w:p>
    <w:p w14:paraId="61BBC56A"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aumentar a capacidade do alcance dos objetivos organizacionais e reduzir incertezas;</w:t>
      </w:r>
    </w:p>
    <w:p w14:paraId="7B915536"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melhorar continuamente os processos organizacionais;</w:t>
      </w:r>
    </w:p>
    <w:p w14:paraId="117EF36E"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estabelecer controles internos proporcionais aos riscos, observada a relação custo-benefício;</w:t>
      </w:r>
    </w:p>
    <w:p w14:paraId="4E4D6B59"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explorar as oportunidades identificadas;</w:t>
      </w:r>
    </w:p>
    <w:p w14:paraId="0B1C0B81"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assegurar o acesso tempestivo das informações sobre riscos aos responsáveis pela tomada de decisão; e</w:t>
      </w:r>
    </w:p>
    <w:p w14:paraId="4DF202FE" w14:textId="77777777" w:rsidR="0012080A" w:rsidRPr="00D477EC" w:rsidRDefault="0012080A" w:rsidP="0012080A">
      <w:pPr>
        <w:pStyle w:val="PargrafodaLista"/>
        <w:widowControl w:val="0"/>
        <w:numPr>
          <w:ilvl w:val="0"/>
          <w:numId w:val="3"/>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buscar a integração</w:t>
      </w:r>
      <w:r w:rsidRPr="00D477EC">
        <w:rPr>
          <w:rFonts w:asciiTheme="minorHAnsi" w:hAnsiTheme="minorHAnsi"/>
          <w:sz w:val="24"/>
          <w:szCs w:val="24"/>
        </w:rPr>
        <w:t xml:space="preserve"> da </w:t>
      </w:r>
      <w:r w:rsidRPr="00D477EC">
        <w:rPr>
          <w:rFonts w:asciiTheme="minorHAnsi" w:hAnsiTheme="minorHAnsi" w:cstheme="majorHAnsi"/>
          <w:sz w:val="24"/>
          <w:szCs w:val="24"/>
        </w:rPr>
        <w:t>gestão de riscos com o planejamento estratégico.</w:t>
      </w:r>
    </w:p>
    <w:p w14:paraId="693C8D86" w14:textId="77777777" w:rsidR="0012080A" w:rsidRPr="00D477EC" w:rsidRDefault="0012080A" w:rsidP="0012080A">
      <w:pPr>
        <w:pStyle w:val="Ttulo10"/>
        <w:numPr>
          <w:ilvl w:val="0"/>
          <w:numId w:val="7"/>
        </w:numPr>
      </w:pPr>
      <w:bookmarkStart w:id="3" w:name="_Toc220061111"/>
      <w:r w:rsidRPr="00D477EC">
        <w:t>RESPONSÁVEIS PELA GESTÃO DE RISCOS</w:t>
      </w:r>
      <w:bookmarkEnd w:id="3"/>
    </w:p>
    <w:p w14:paraId="530E2C8A" w14:textId="77777777" w:rsidR="0012080A" w:rsidRPr="00D477EC" w:rsidRDefault="0012080A" w:rsidP="00C869C0">
      <w:pPr>
        <w:pStyle w:val="Corpo"/>
        <w:rPr>
          <w:color w:val="auto"/>
        </w:rPr>
      </w:pPr>
      <w:r w:rsidRPr="00D477EC">
        <w:rPr>
          <w:color w:val="auto"/>
        </w:rPr>
        <w:t xml:space="preserve">A gestão de riscos constitui responsabilidade compartilhada em toda a instituição, sendo exercida, no âmbito de suas competências, pelo Comitê Setorial de </w:t>
      </w:r>
      <w:r w:rsidRPr="00D477EC">
        <w:rPr>
          <w:i/>
          <w:color w:val="auto"/>
        </w:rPr>
        <w:t xml:space="preserve">Compliance </w:t>
      </w:r>
      <w:r w:rsidRPr="00D477EC">
        <w:rPr>
          <w:color w:val="auto"/>
        </w:rPr>
        <w:t>(CSC), pelo Grupo de Trabalho (GT), pela Unidade Setorial/Seccional de Controle Interno (USCI) e pelos gestores de riscos, sem prejuízo das atribuições dos demais agentes envolvidos.</w:t>
      </w:r>
    </w:p>
    <w:p w14:paraId="61CF8252" w14:textId="7E365798" w:rsidR="0012080A" w:rsidRPr="00D477EC" w:rsidRDefault="0012080A" w:rsidP="00C869C0">
      <w:pPr>
        <w:pStyle w:val="Corpo"/>
        <w:rPr>
          <w:color w:val="auto"/>
        </w:rPr>
      </w:pPr>
      <w:r w:rsidRPr="00D477EC">
        <w:rPr>
          <w:color w:val="auto"/>
        </w:rPr>
        <w:t xml:space="preserve">O </w:t>
      </w:r>
      <w:r w:rsidRPr="00D477EC">
        <w:rPr>
          <w:b/>
          <w:color w:val="auto"/>
        </w:rPr>
        <w:t>CSC</w:t>
      </w:r>
      <w:r w:rsidRPr="00D477EC">
        <w:rPr>
          <w:b/>
          <w:i/>
          <w:color w:val="auto"/>
        </w:rPr>
        <w:t xml:space="preserve"> </w:t>
      </w:r>
      <w:r w:rsidRPr="00D477EC">
        <w:rPr>
          <w:color w:val="auto"/>
        </w:rPr>
        <w:t xml:space="preserve">é um colegiado de caráter deliberativo e permanente composto pelo dirigente máximo e pelos membros da alta gestão, com competência para acompanhar a implantação e a execução da Política de Compliance Público (PCP) e realizar o monitoramento das respectivas ações. Esse comitê foi instituído por meio da </w:t>
      </w:r>
      <w:r w:rsidR="00084C9D" w:rsidRPr="00D477EC">
        <w:rPr>
          <w:color w:val="auto"/>
        </w:rPr>
        <w:t>Portaria Normativa N° 001/2026</w:t>
      </w:r>
      <w:r w:rsidRPr="00D477EC">
        <w:rPr>
          <w:color w:val="auto"/>
        </w:rPr>
        <w:t>, em que constam suas atribuições detalhadas.</w:t>
      </w:r>
    </w:p>
    <w:p w14:paraId="70C77BF9" w14:textId="596B967A" w:rsidR="0012080A" w:rsidRPr="00D477EC" w:rsidRDefault="0012080A" w:rsidP="00C869C0">
      <w:pPr>
        <w:pStyle w:val="Corpo"/>
        <w:rPr>
          <w:color w:val="auto"/>
        </w:rPr>
      </w:pPr>
      <w:r w:rsidRPr="00D477EC">
        <w:rPr>
          <w:color w:val="auto"/>
        </w:rPr>
        <w:t xml:space="preserve">O </w:t>
      </w:r>
      <w:r w:rsidRPr="00D477EC">
        <w:rPr>
          <w:b/>
          <w:color w:val="auto"/>
        </w:rPr>
        <w:t xml:space="preserve">GT </w:t>
      </w:r>
      <w:r w:rsidRPr="00D477EC">
        <w:rPr>
          <w:color w:val="auto"/>
        </w:rPr>
        <w:t xml:space="preserve">é </w:t>
      </w:r>
      <w:r w:rsidR="00D362E6" w:rsidRPr="00D477EC">
        <w:rPr>
          <w:color w:val="auto"/>
        </w:rPr>
        <w:t xml:space="preserve">um colegiado </w:t>
      </w:r>
      <w:r w:rsidRPr="00D477EC">
        <w:rPr>
          <w:color w:val="auto"/>
        </w:rPr>
        <w:t xml:space="preserve">composto por servidores de atuação temporária e é responsável pelas atividades de implantação do </w:t>
      </w:r>
      <w:r w:rsidRPr="00D477EC">
        <w:rPr>
          <w:i/>
          <w:color w:val="auto"/>
        </w:rPr>
        <w:t>Compliance</w:t>
      </w:r>
      <w:r w:rsidRPr="00D477EC">
        <w:rPr>
          <w:color w:val="auto"/>
        </w:rPr>
        <w:t xml:space="preserve"> Público. Esse grupo foi instituído por meio da Portaria</w:t>
      </w:r>
      <w:r w:rsidR="00084C9D" w:rsidRPr="00D477EC">
        <w:rPr>
          <w:color w:val="auto"/>
        </w:rPr>
        <w:t xml:space="preserve"> Normativa</w:t>
      </w:r>
      <w:r w:rsidRPr="00D477EC">
        <w:rPr>
          <w:color w:val="auto"/>
        </w:rPr>
        <w:t xml:space="preserve"> nº </w:t>
      </w:r>
      <w:r w:rsidR="00084C9D" w:rsidRPr="00D477EC">
        <w:rPr>
          <w:color w:val="auto"/>
        </w:rPr>
        <w:t>002/2026</w:t>
      </w:r>
      <w:r w:rsidRPr="00D477EC">
        <w:rPr>
          <w:color w:val="auto"/>
        </w:rPr>
        <w:t>, em que constam suas atribuições detalhadas.</w:t>
      </w:r>
    </w:p>
    <w:p w14:paraId="2FEBE6C9" w14:textId="77777777" w:rsidR="0012080A" w:rsidRPr="00D477EC" w:rsidRDefault="0012080A" w:rsidP="00C869C0">
      <w:pPr>
        <w:pStyle w:val="Corpo"/>
        <w:rPr>
          <w:color w:val="auto"/>
        </w:rPr>
      </w:pPr>
      <w:r w:rsidRPr="00D477EC">
        <w:rPr>
          <w:color w:val="auto"/>
        </w:rPr>
        <w:lastRenderedPageBreak/>
        <w:t>A</w:t>
      </w:r>
      <w:r w:rsidRPr="00D477EC">
        <w:rPr>
          <w:b/>
          <w:color w:val="auto"/>
        </w:rPr>
        <w:t xml:space="preserve"> USCI </w:t>
      </w:r>
      <w:r w:rsidRPr="00D477EC">
        <w:rPr>
          <w:color w:val="auto"/>
        </w:rPr>
        <w:t xml:space="preserve">presta apoio à realização da gestão de riscos na instituição e lhe compete: </w:t>
      </w:r>
    </w:p>
    <w:p w14:paraId="08017315" w14:textId="77777777" w:rsidR="0012080A" w:rsidRPr="00D477EC" w:rsidRDefault="0012080A" w:rsidP="0012080A">
      <w:pPr>
        <w:pStyle w:val="PargrafodaLista"/>
        <w:widowControl w:val="0"/>
        <w:numPr>
          <w:ilvl w:val="0"/>
          <w:numId w:val="4"/>
        </w:numPr>
        <w:pBdr>
          <w:top w:val="nil"/>
          <w:left w:val="nil"/>
          <w:bottom w:val="nil"/>
          <w:right w:val="nil"/>
          <w:between w:val="nil"/>
        </w:pBdr>
        <w:spacing w:before="258" w:line="360" w:lineRule="auto"/>
        <w:ind w:right="202"/>
        <w:jc w:val="both"/>
        <w:rPr>
          <w:rFonts w:asciiTheme="minorHAnsi" w:hAnsiTheme="minorHAnsi" w:cstheme="majorHAnsi"/>
          <w:sz w:val="24"/>
          <w:szCs w:val="24"/>
        </w:rPr>
      </w:pPr>
      <w:r w:rsidRPr="00D477EC">
        <w:rPr>
          <w:rFonts w:asciiTheme="minorHAnsi" w:hAnsiTheme="minorHAnsi" w:cstheme="majorHAnsi"/>
          <w:sz w:val="24"/>
          <w:szCs w:val="24"/>
        </w:rPr>
        <w:t>apoiar e acompanhar os gestores de riscos no gerenciamento e monitoramento dos riscos.</w:t>
      </w:r>
    </w:p>
    <w:p w14:paraId="3AA899BD" w14:textId="77777777" w:rsidR="0012080A" w:rsidRPr="00D477EC" w:rsidRDefault="0012080A" w:rsidP="0012080A">
      <w:pPr>
        <w:pStyle w:val="PargrafodaLista"/>
        <w:widowControl w:val="0"/>
        <w:numPr>
          <w:ilvl w:val="0"/>
          <w:numId w:val="4"/>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elaborar minuta de revisão da Política de Gestão de Riscos do órgão;</w:t>
      </w:r>
    </w:p>
    <w:p w14:paraId="711EA878" w14:textId="77777777" w:rsidR="0012080A" w:rsidRPr="00D477EC" w:rsidRDefault="0012080A" w:rsidP="0012080A">
      <w:pPr>
        <w:pStyle w:val="PargrafodaLista"/>
        <w:widowControl w:val="0"/>
        <w:numPr>
          <w:ilvl w:val="0"/>
          <w:numId w:val="4"/>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elaborar minuta de revisão da Declaração de Apetite a Riscos do órgão; e</w:t>
      </w:r>
    </w:p>
    <w:p w14:paraId="4032085E" w14:textId="77777777" w:rsidR="0012080A" w:rsidRPr="00D477EC" w:rsidRDefault="0012080A" w:rsidP="0012080A">
      <w:pPr>
        <w:pStyle w:val="PargrafodaLista"/>
        <w:widowControl w:val="0"/>
        <w:numPr>
          <w:ilvl w:val="0"/>
          <w:numId w:val="4"/>
        </w:numPr>
        <w:pBdr>
          <w:top w:val="nil"/>
          <w:left w:val="nil"/>
          <w:bottom w:val="nil"/>
          <w:right w:val="nil"/>
          <w:between w:val="nil"/>
        </w:pBdr>
        <w:spacing w:before="258" w:line="360" w:lineRule="auto"/>
        <w:ind w:right="143"/>
        <w:jc w:val="both"/>
        <w:rPr>
          <w:rFonts w:asciiTheme="minorHAnsi" w:hAnsiTheme="minorHAnsi" w:cstheme="majorHAnsi"/>
          <w:sz w:val="24"/>
          <w:szCs w:val="24"/>
        </w:rPr>
      </w:pPr>
      <w:r w:rsidRPr="00D477EC">
        <w:rPr>
          <w:rFonts w:asciiTheme="minorHAnsi" w:hAnsiTheme="minorHAnsi" w:cstheme="majorHAnsi"/>
          <w:sz w:val="24"/>
          <w:szCs w:val="24"/>
        </w:rPr>
        <w:t>sugerir capacitações sobre Gestão de Riscos para servidores da instituição;</w:t>
      </w:r>
    </w:p>
    <w:p w14:paraId="5A77D2E4" w14:textId="01575886" w:rsidR="0012080A" w:rsidRPr="00D477EC" w:rsidRDefault="0012080A" w:rsidP="00C869C0">
      <w:pPr>
        <w:pStyle w:val="Corpo"/>
        <w:rPr>
          <w:color w:val="auto"/>
        </w:rPr>
      </w:pPr>
      <w:r w:rsidRPr="00D477EC">
        <w:rPr>
          <w:color w:val="auto"/>
        </w:rPr>
        <w:t xml:space="preserve">Os </w:t>
      </w:r>
      <w:r w:rsidRPr="00D477EC">
        <w:rPr>
          <w:b/>
          <w:color w:val="auto"/>
        </w:rPr>
        <w:t>gestores de riscos</w:t>
      </w:r>
      <w:r w:rsidRPr="00D477EC">
        <w:rPr>
          <w:color w:val="auto"/>
        </w:rPr>
        <w:t xml:space="preserve"> são servidores com responsabilidade e autoridade para coordenar o gerenciamento de riscos de um ou mais processos e lhes compete:</w:t>
      </w:r>
    </w:p>
    <w:p w14:paraId="41E25F60" w14:textId="77777777" w:rsidR="0012080A" w:rsidRPr="00D477EC" w:rsidRDefault="0012080A" w:rsidP="0012080A">
      <w:pPr>
        <w:pStyle w:val="PargrafodaLista"/>
        <w:widowControl w:val="0"/>
        <w:numPr>
          <w:ilvl w:val="0"/>
          <w:numId w:val="5"/>
        </w:numPr>
        <w:pBdr>
          <w:top w:val="nil"/>
          <w:left w:val="nil"/>
          <w:bottom w:val="nil"/>
          <w:right w:val="nil"/>
          <w:between w:val="nil"/>
        </w:pBdr>
        <w:spacing w:before="253" w:line="360" w:lineRule="auto"/>
        <w:ind w:right="142"/>
        <w:jc w:val="both"/>
        <w:rPr>
          <w:rFonts w:asciiTheme="minorHAnsi" w:hAnsiTheme="minorHAnsi" w:cstheme="majorHAnsi"/>
          <w:sz w:val="24"/>
          <w:szCs w:val="24"/>
        </w:rPr>
      </w:pPr>
      <w:r w:rsidRPr="00D477EC">
        <w:rPr>
          <w:rFonts w:asciiTheme="minorHAnsi" w:hAnsiTheme="minorHAnsi" w:cstheme="majorHAnsi"/>
          <w:sz w:val="24"/>
          <w:szCs w:val="24"/>
        </w:rPr>
        <w:t>realizar o gerenciamento de riscos dos processos sob sua responsabilidade;</w:t>
      </w:r>
    </w:p>
    <w:p w14:paraId="2471CAF5" w14:textId="0C477363" w:rsidR="0012080A" w:rsidRPr="00D477EC" w:rsidRDefault="0012080A" w:rsidP="0012080A">
      <w:pPr>
        <w:pStyle w:val="PargrafodaLista"/>
        <w:widowControl w:val="0"/>
        <w:numPr>
          <w:ilvl w:val="0"/>
          <w:numId w:val="5"/>
        </w:numPr>
        <w:pBdr>
          <w:top w:val="nil"/>
          <w:left w:val="nil"/>
          <w:bottom w:val="nil"/>
          <w:right w:val="nil"/>
          <w:between w:val="nil"/>
        </w:pBdr>
        <w:spacing w:before="253" w:line="360" w:lineRule="auto"/>
        <w:ind w:right="142"/>
        <w:jc w:val="both"/>
        <w:rPr>
          <w:rFonts w:asciiTheme="minorHAnsi" w:hAnsiTheme="minorHAnsi" w:cstheme="majorHAnsi"/>
          <w:sz w:val="24"/>
          <w:szCs w:val="24"/>
        </w:rPr>
      </w:pPr>
      <w:r w:rsidRPr="00D477EC">
        <w:rPr>
          <w:rFonts w:asciiTheme="minorHAnsi" w:hAnsiTheme="minorHAnsi" w:cstheme="majorHAnsi"/>
          <w:sz w:val="24"/>
          <w:szCs w:val="24"/>
        </w:rPr>
        <w:t>monitorar a implementação dos control</w:t>
      </w:r>
      <w:r w:rsidR="008257DE" w:rsidRPr="00D477EC">
        <w:rPr>
          <w:rFonts w:asciiTheme="minorHAnsi" w:hAnsiTheme="minorHAnsi" w:cstheme="majorHAnsi"/>
          <w:sz w:val="24"/>
          <w:szCs w:val="24"/>
        </w:rPr>
        <w:t>es propostos e manter atualizado</w:t>
      </w:r>
      <w:r w:rsidRPr="00D477EC">
        <w:rPr>
          <w:rFonts w:asciiTheme="minorHAnsi" w:hAnsiTheme="minorHAnsi" w:cstheme="majorHAnsi"/>
          <w:sz w:val="24"/>
          <w:szCs w:val="24"/>
        </w:rPr>
        <w:t xml:space="preserve"> o Plano de Monitoramento;</w:t>
      </w:r>
    </w:p>
    <w:p w14:paraId="3C83CDC1" w14:textId="77777777" w:rsidR="0012080A" w:rsidRPr="00D477EC" w:rsidRDefault="0012080A" w:rsidP="0012080A">
      <w:pPr>
        <w:pStyle w:val="PargrafodaLista"/>
        <w:widowControl w:val="0"/>
        <w:numPr>
          <w:ilvl w:val="0"/>
          <w:numId w:val="5"/>
        </w:numPr>
        <w:pBdr>
          <w:top w:val="nil"/>
          <w:left w:val="nil"/>
          <w:bottom w:val="nil"/>
          <w:right w:val="nil"/>
          <w:between w:val="nil"/>
        </w:pBdr>
        <w:spacing w:before="253" w:line="360" w:lineRule="auto"/>
        <w:ind w:right="142"/>
        <w:jc w:val="both"/>
        <w:rPr>
          <w:rFonts w:asciiTheme="minorHAnsi" w:hAnsiTheme="minorHAnsi" w:cstheme="majorHAnsi"/>
          <w:sz w:val="24"/>
          <w:szCs w:val="24"/>
        </w:rPr>
      </w:pPr>
      <w:r w:rsidRPr="00D477EC">
        <w:rPr>
          <w:rFonts w:asciiTheme="minorHAnsi" w:hAnsiTheme="minorHAnsi" w:cstheme="majorHAnsi"/>
          <w:sz w:val="24"/>
          <w:szCs w:val="24"/>
        </w:rPr>
        <w:t>enviar bimestralmente o Plano de Monitoramento atualizado ao CSC e à USCI, para propiciar o monitoramento periódico.</w:t>
      </w:r>
    </w:p>
    <w:p w14:paraId="70B8F096" w14:textId="77777777" w:rsidR="0012080A" w:rsidRPr="00D477EC" w:rsidRDefault="0012080A" w:rsidP="0012080A">
      <w:pPr>
        <w:pStyle w:val="Ttulo10"/>
        <w:numPr>
          <w:ilvl w:val="0"/>
          <w:numId w:val="7"/>
        </w:numPr>
      </w:pPr>
      <w:bookmarkStart w:id="4" w:name="_Toc220061112"/>
      <w:r w:rsidRPr="00D477EC">
        <w:t>ETAPAS DA GESTÃO DE RISCOS</w:t>
      </w:r>
      <w:bookmarkEnd w:id="4"/>
    </w:p>
    <w:p w14:paraId="01F2A574" w14:textId="77777777" w:rsidR="0012080A" w:rsidRPr="00D477EC" w:rsidRDefault="0012080A" w:rsidP="00C869C0">
      <w:pPr>
        <w:pStyle w:val="Corpo"/>
        <w:rPr>
          <w:color w:val="auto"/>
        </w:rPr>
      </w:pPr>
      <w:r w:rsidRPr="00D477EC">
        <w:rPr>
          <w:color w:val="auto"/>
        </w:rPr>
        <w:t xml:space="preserve">A gestão de riscos é conduzida de forma estruturada, sistemática e contínua e deve ser permanentemente revisada e aprimorada, de modo a assegurar sua aderência às mudanças nos ambientes interno e externo, bem como ao planejamento estratégico e aos objetivos institucionais. </w:t>
      </w:r>
    </w:p>
    <w:p w14:paraId="54C20976" w14:textId="08985082" w:rsidR="0012080A" w:rsidRPr="00D477EC" w:rsidRDefault="0012080A" w:rsidP="00C869C0">
      <w:pPr>
        <w:pStyle w:val="Corpo"/>
        <w:rPr>
          <w:color w:val="auto"/>
        </w:rPr>
      </w:pPr>
      <w:r w:rsidRPr="00D477EC">
        <w:rPr>
          <w:color w:val="auto"/>
        </w:rPr>
        <w:t>Ademais, a gestão de riscos se divide nas seguintes etapas: estruturação, com a definição de responsáveis, instrumentos e parâmetros</w:t>
      </w:r>
      <w:r w:rsidR="001C43D7" w:rsidRPr="00D477EC">
        <w:rPr>
          <w:color w:val="auto"/>
        </w:rPr>
        <w:t xml:space="preserve"> institucionais; identificação,</w:t>
      </w:r>
      <w:r w:rsidRPr="00D477EC">
        <w:rPr>
          <w:color w:val="auto"/>
        </w:rPr>
        <w:t xml:space="preserve"> priorização</w:t>
      </w:r>
      <w:r w:rsidR="001C43D7" w:rsidRPr="00D477EC">
        <w:rPr>
          <w:color w:val="auto"/>
        </w:rPr>
        <w:t xml:space="preserve"> e mapeamento</w:t>
      </w:r>
      <w:r w:rsidRPr="00D477EC">
        <w:rPr>
          <w:color w:val="auto"/>
        </w:rPr>
        <w:t xml:space="preserve"> dos processos a serem submetidos ao gerenciamento de riscos; e gerenciamento de riscos propriamente dito, contemplando a identificação, </w:t>
      </w:r>
      <w:r w:rsidR="00D734D1" w:rsidRPr="00D477EC">
        <w:rPr>
          <w:color w:val="auto"/>
        </w:rPr>
        <w:t>análise</w:t>
      </w:r>
      <w:r w:rsidR="0007463C" w:rsidRPr="00D477EC">
        <w:rPr>
          <w:color w:val="auto"/>
        </w:rPr>
        <w:t>,</w:t>
      </w:r>
      <w:r w:rsidR="00D734D1" w:rsidRPr="00D477EC">
        <w:rPr>
          <w:color w:val="auto"/>
        </w:rPr>
        <w:t xml:space="preserve"> </w:t>
      </w:r>
      <w:r w:rsidRPr="00D477EC">
        <w:rPr>
          <w:color w:val="auto"/>
        </w:rPr>
        <w:t>avaliação, tratamento, monitoramento e comunicação dos riscos, considerando o apetite a riscos da instituição e os controles internos existentes.</w:t>
      </w:r>
    </w:p>
    <w:p w14:paraId="32F1E829" w14:textId="77777777" w:rsidR="0012080A" w:rsidRPr="00D477EC" w:rsidRDefault="0012080A" w:rsidP="0012080A">
      <w:pPr>
        <w:pStyle w:val="PargrafodaLista"/>
        <w:widowControl w:val="0"/>
        <w:pBdr>
          <w:top w:val="nil"/>
          <w:left w:val="nil"/>
          <w:bottom w:val="nil"/>
          <w:right w:val="nil"/>
          <w:between w:val="nil"/>
        </w:pBdr>
        <w:tabs>
          <w:tab w:val="left" w:pos="4771"/>
        </w:tabs>
        <w:spacing w:before="257" w:line="360" w:lineRule="auto"/>
        <w:ind w:left="360" w:right="137"/>
        <w:jc w:val="both"/>
        <w:rPr>
          <w:rFonts w:asciiTheme="minorHAnsi" w:hAnsiTheme="minorHAnsi" w:cstheme="majorHAnsi"/>
          <w:b/>
          <w:sz w:val="24"/>
          <w:szCs w:val="24"/>
        </w:rPr>
      </w:pPr>
    </w:p>
    <w:p w14:paraId="056433C8" w14:textId="77777777" w:rsidR="0012080A" w:rsidRPr="00D477EC" w:rsidRDefault="0012080A" w:rsidP="0012080A">
      <w:pPr>
        <w:pStyle w:val="Ttulo10"/>
        <w:numPr>
          <w:ilvl w:val="1"/>
          <w:numId w:val="7"/>
        </w:numPr>
      </w:pPr>
      <w:bookmarkStart w:id="5" w:name="_Toc220061113"/>
      <w:r w:rsidRPr="00D477EC">
        <w:lastRenderedPageBreak/>
        <w:t>Estruturação da Gestão de Riscos</w:t>
      </w:r>
      <w:bookmarkEnd w:id="5"/>
    </w:p>
    <w:p w14:paraId="70232CAF" w14:textId="13C55688" w:rsidR="0012080A" w:rsidRPr="00D477EC" w:rsidRDefault="0012080A" w:rsidP="00C869C0">
      <w:pPr>
        <w:pStyle w:val="Corpo"/>
        <w:rPr>
          <w:color w:val="auto"/>
        </w:rPr>
      </w:pPr>
      <w:r w:rsidRPr="00D477EC">
        <w:rPr>
          <w:color w:val="auto"/>
        </w:rPr>
        <w:t>Além da elaboração desta Política de Gestão de Riscos, compõem a etapa de estruturação</w:t>
      </w:r>
      <w:r w:rsidR="00C37987" w:rsidRPr="00D477EC">
        <w:rPr>
          <w:color w:val="auto"/>
        </w:rPr>
        <w:t xml:space="preserve"> a criação do CSC e GT (conforme descrito no item 2 deste documento),</w:t>
      </w:r>
      <w:r w:rsidRPr="00D477EC">
        <w:rPr>
          <w:color w:val="auto"/>
        </w:rPr>
        <w:t xml:space="preserve"> a Autoavaliação da Maturidade em Gestão de Risco e a Declaração de </w:t>
      </w:r>
      <w:r w:rsidR="00C37987" w:rsidRPr="00D477EC">
        <w:rPr>
          <w:color w:val="auto"/>
        </w:rPr>
        <w:t>Apetite a Riscos (</w:t>
      </w:r>
      <w:r w:rsidRPr="00D477EC">
        <w:rPr>
          <w:color w:val="auto"/>
        </w:rPr>
        <w:t>as quais serão detalhadas a seguir</w:t>
      </w:r>
      <w:r w:rsidR="00C37987" w:rsidRPr="00D477EC">
        <w:rPr>
          <w:color w:val="auto"/>
        </w:rPr>
        <w:t>)</w:t>
      </w:r>
      <w:r w:rsidRPr="00D477EC">
        <w:rPr>
          <w:color w:val="auto"/>
        </w:rPr>
        <w:t>.</w:t>
      </w:r>
    </w:p>
    <w:p w14:paraId="22EE39F9" w14:textId="7BD0398B" w:rsidR="0012080A" w:rsidRPr="00D477EC" w:rsidRDefault="0012080A" w:rsidP="0012080A">
      <w:pPr>
        <w:pStyle w:val="Ttulo10"/>
        <w:numPr>
          <w:ilvl w:val="2"/>
          <w:numId w:val="7"/>
        </w:numPr>
      </w:pPr>
      <w:bookmarkStart w:id="6" w:name="_Toc220061114"/>
      <w:r w:rsidRPr="00D477EC">
        <w:t>Autoavaliação da Maturidade em Gestão de Risco</w:t>
      </w:r>
      <w:bookmarkEnd w:id="6"/>
      <w:r w:rsidR="009D7F67" w:rsidRPr="00D477EC">
        <w:t>s</w:t>
      </w:r>
    </w:p>
    <w:p w14:paraId="2832D9D4" w14:textId="02C15058" w:rsidR="0012080A" w:rsidRPr="00D477EC" w:rsidRDefault="0012080A" w:rsidP="00C869C0">
      <w:pPr>
        <w:pStyle w:val="Corpo"/>
        <w:rPr>
          <w:color w:val="auto"/>
        </w:rPr>
      </w:pPr>
      <w:r w:rsidRPr="00D477EC">
        <w:rPr>
          <w:color w:val="auto"/>
        </w:rPr>
        <w:t>Questionário que serve para o Grupo de Trabalho avaliar a maturidade em gestão de riscos na instituição, com base em: ambiente interno; fixação de objetivos; identificação de eventos; avaliação de riscos; resposta a riscos e atividades de controle; monitoramento; informação e comunicação; e funções e responsabilidade</w:t>
      </w:r>
      <w:r w:rsidR="009D7F67" w:rsidRPr="00D477EC">
        <w:rPr>
          <w:color w:val="auto"/>
        </w:rPr>
        <w:t>s</w:t>
      </w:r>
      <w:r w:rsidRPr="00D477EC">
        <w:rPr>
          <w:color w:val="auto"/>
        </w:rPr>
        <w:t>. Os níveis de maturidade possíveis são: Inicial, Básico, Desenvolvido e Avançado.</w:t>
      </w:r>
    </w:p>
    <w:p w14:paraId="1840C988" w14:textId="77777777" w:rsidR="0012080A" w:rsidRPr="00D477EC" w:rsidRDefault="0012080A" w:rsidP="00BB7055">
      <w:pPr>
        <w:pStyle w:val="Ttulo10"/>
        <w:numPr>
          <w:ilvl w:val="2"/>
          <w:numId w:val="7"/>
        </w:numPr>
      </w:pPr>
      <w:bookmarkStart w:id="7" w:name="_Toc220061115"/>
      <w:r w:rsidRPr="00D477EC">
        <w:t>Declaração de Apetite a Riscos</w:t>
      </w:r>
      <w:bookmarkEnd w:id="7"/>
      <w:r w:rsidRPr="00D477EC">
        <w:tab/>
      </w:r>
    </w:p>
    <w:p w14:paraId="08801949" w14:textId="3F4D43AA" w:rsidR="0012080A" w:rsidRPr="00D477EC" w:rsidRDefault="0012080A" w:rsidP="00C869C0">
      <w:pPr>
        <w:pStyle w:val="Corpo"/>
        <w:rPr>
          <w:color w:val="auto"/>
        </w:rPr>
      </w:pPr>
      <w:r w:rsidRPr="00D477EC">
        <w:rPr>
          <w:color w:val="auto"/>
        </w:rPr>
        <w:t>O apetite a riscos é o nível de risco que uma instituição está disposta a aceitar para atingir seus objetivos. Os níveis de risco possíveis no Poder Executivo do Estado do Mato Grosso do Sul são</w:t>
      </w:r>
      <w:r w:rsidR="009D7F67" w:rsidRPr="00D477EC">
        <w:rPr>
          <w:color w:val="auto"/>
        </w:rPr>
        <w:t>:</w:t>
      </w:r>
      <w:r w:rsidRPr="00D477EC">
        <w:rPr>
          <w:color w:val="auto"/>
        </w:rPr>
        <w:t xml:space="preserve"> muito baixo</w:t>
      </w:r>
      <w:r w:rsidR="00837ABB" w:rsidRPr="00D477EC">
        <w:rPr>
          <w:color w:val="auto"/>
        </w:rPr>
        <w:t>, baixo, médio, alto e muito alto</w:t>
      </w:r>
      <w:r w:rsidRPr="00D477EC">
        <w:rPr>
          <w:color w:val="auto"/>
        </w:rPr>
        <w:t>.</w:t>
      </w:r>
    </w:p>
    <w:p w14:paraId="3556C5CF" w14:textId="77777777" w:rsidR="0012080A" w:rsidRPr="00D477EC" w:rsidRDefault="0012080A" w:rsidP="00C869C0">
      <w:pPr>
        <w:pStyle w:val="Corpo"/>
        <w:rPr>
          <w:color w:val="auto"/>
        </w:rPr>
      </w:pPr>
      <w:r w:rsidRPr="00D477EC">
        <w:rPr>
          <w:color w:val="auto"/>
        </w:rPr>
        <w:t>Por sua vez, a Declaração de Apetite a Riscos é um posicionamento formal sobre o apetite a riscos da instituição. A Declaração de Apetite a Riscos será elaborada antes do gerenciamento de riscos e deverá ser verificada a necessidade de revisão quando da elaboração ou alteração do plano estratégico ou quando houver mudanças significativas nos ambientes interno ou externo.</w:t>
      </w:r>
    </w:p>
    <w:p w14:paraId="67C9CB64" w14:textId="77777777" w:rsidR="0012080A" w:rsidRPr="00D477EC" w:rsidRDefault="0012080A" w:rsidP="00BB7055">
      <w:pPr>
        <w:pStyle w:val="Ttulo10"/>
        <w:numPr>
          <w:ilvl w:val="1"/>
          <w:numId w:val="7"/>
        </w:numPr>
      </w:pPr>
      <w:bookmarkStart w:id="8" w:name="_Toc220061116"/>
      <w:r w:rsidRPr="00D477EC">
        <w:t>Identificação e Priorização de Processos</w:t>
      </w:r>
      <w:bookmarkEnd w:id="8"/>
    </w:p>
    <w:p w14:paraId="438CA341" w14:textId="77777777" w:rsidR="0012080A" w:rsidRPr="00D477EC" w:rsidRDefault="0012080A" w:rsidP="00C869C0">
      <w:pPr>
        <w:pStyle w:val="Corpo"/>
        <w:rPr>
          <w:color w:val="auto"/>
        </w:rPr>
      </w:pPr>
      <w:r w:rsidRPr="00D477EC">
        <w:rPr>
          <w:color w:val="auto"/>
        </w:rPr>
        <w:t>Para fins de identificação de processos, o GT encaminhará formulário próprio aos responsáveis pelos processos, que responderão os nomes e os objetivos. Entende-se por responsável pelo processo o servidor designado pela administração para gerenciar, coordenar, acompanhar o processo e responder pelas principais atividades, pelo desempenho e pelos resultados alcançados.</w:t>
      </w:r>
    </w:p>
    <w:p w14:paraId="055FCBFC" w14:textId="77777777" w:rsidR="0012080A" w:rsidRPr="00D477EC" w:rsidRDefault="0012080A" w:rsidP="00C869C0">
      <w:pPr>
        <w:pStyle w:val="Corpo"/>
        <w:rPr>
          <w:color w:val="auto"/>
        </w:rPr>
      </w:pPr>
      <w:r w:rsidRPr="00D477EC">
        <w:rPr>
          <w:color w:val="auto"/>
        </w:rPr>
        <w:t xml:space="preserve">Em seguida, o GT elaborará a Matriz de Priorização de Processos (documento </w:t>
      </w:r>
      <w:r w:rsidRPr="00D477EC">
        <w:rPr>
          <w:color w:val="auto"/>
        </w:rPr>
        <w:lastRenderedPageBreak/>
        <w:t>que prioriza os principais processos da instituição) com base nos seguintes critérios:</w:t>
      </w:r>
    </w:p>
    <w:p w14:paraId="5EF1A38F" w14:textId="2884B728" w:rsidR="0012080A" w:rsidRPr="00D477EC" w:rsidRDefault="00414338" w:rsidP="0012080A">
      <w:pPr>
        <w:pStyle w:val="PargrafodaLista"/>
        <w:widowControl w:val="0"/>
        <w:numPr>
          <w:ilvl w:val="0"/>
          <w:numId w:val="1"/>
        </w:numPr>
        <w:pBdr>
          <w:top w:val="nil"/>
          <w:left w:val="nil"/>
          <w:bottom w:val="nil"/>
          <w:right w:val="nil"/>
          <w:between w:val="nil"/>
        </w:pBdr>
        <w:spacing w:before="257" w:line="360" w:lineRule="auto"/>
        <w:ind w:right="137"/>
        <w:jc w:val="both"/>
        <w:rPr>
          <w:rFonts w:asciiTheme="minorHAnsi" w:hAnsiTheme="minorHAnsi" w:cstheme="majorHAnsi"/>
          <w:sz w:val="24"/>
          <w:szCs w:val="24"/>
        </w:rPr>
      </w:pPr>
      <w:r w:rsidRPr="00D477EC">
        <w:rPr>
          <w:rFonts w:asciiTheme="minorHAnsi" w:hAnsiTheme="minorHAnsi" w:cstheme="majorHAnsi"/>
          <w:sz w:val="24"/>
          <w:szCs w:val="24"/>
        </w:rPr>
        <w:t>Relevância Estratégica</w:t>
      </w:r>
      <w:r w:rsidR="009D7F67" w:rsidRPr="00D477EC">
        <w:rPr>
          <w:rFonts w:asciiTheme="minorHAnsi" w:hAnsiTheme="minorHAnsi" w:cstheme="majorHAnsi"/>
          <w:sz w:val="24"/>
          <w:szCs w:val="24"/>
        </w:rPr>
        <w:t>;</w:t>
      </w:r>
    </w:p>
    <w:p w14:paraId="1D60C43A" w14:textId="77777777" w:rsidR="0012080A" w:rsidRPr="00D477EC" w:rsidRDefault="0012080A" w:rsidP="0012080A">
      <w:pPr>
        <w:pStyle w:val="PargrafodaLista"/>
        <w:widowControl w:val="0"/>
        <w:numPr>
          <w:ilvl w:val="0"/>
          <w:numId w:val="1"/>
        </w:numPr>
        <w:pBdr>
          <w:top w:val="nil"/>
          <w:left w:val="nil"/>
          <w:bottom w:val="nil"/>
          <w:right w:val="nil"/>
          <w:between w:val="nil"/>
        </w:pBdr>
        <w:spacing w:before="257" w:line="360" w:lineRule="auto"/>
        <w:ind w:right="137"/>
        <w:jc w:val="both"/>
        <w:rPr>
          <w:rFonts w:asciiTheme="minorHAnsi" w:hAnsiTheme="minorHAnsi" w:cstheme="majorHAnsi"/>
          <w:sz w:val="24"/>
          <w:szCs w:val="24"/>
        </w:rPr>
      </w:pPr>
      <w:r w:rsidRPr="00D477EC">
        <w:rPr>
          <w:rFonts w:asciiTheme="minorHAnsi" w:hAnsiTheme="minorHAnsi" w:cstheme="majorHAnsi"/>
          <w:sz w:val="24"/>
          <w:szCs w:val="24"/>
        </w:rPr>
        <w:t>Tipo de processo (meio ou finalístico);</w:t>
      </w:r>
    </w:p>
    <w:p w14:paraId="2454A6A2" w14:textId="6CBB8F05" w:rsidR="0012080A" w:rsidRPr="00D477EC" w:rsidRDefault="0012080A" w:rsidP="0012080A">
      <w:pPr>
        <w:pStyle w:val="PargrafodaLista"/>
        <w:widowControl w:val="0"/>
        <w:numPr>
          <w:ilvl w:val="0"/>
          <w:numId w:val="1"/>
        </w:numPr>
        <w:pBdr>
          <w:top w:val="nil"/>
          <w:left w:val="nil"/>
          <w:bottom w:val="nil"/>
          <w:right w:val="nil"/>
          <w:between w:val="nil"/>
        </w:pBdr>
        <w:spacing w:before="257" w:line="360" w:lineRule="auto"/>
        <w:ind w:right="137"/>
        <w:jc w:val="both"/>
        <w:rPr>
          <w:rFonts w:asciiTheme="minorHAnsi" w:hAnsiTheme="minorHAnsi" w:cstheme="majorHAnsi"/>
          <w:sz w:val="24"/>
          <w:szCs w:val="24"/>
        </w:rPr>
      </w:pPr>
      <w:r w:rsidRPr="00D477EC">
        <w:rPr>
          <w:rFonts w:asciiTheme="minorHAnsi" w:hAnsiTheme="minorHAnsi" w:cstheme="majorHAnsi"/>
          <w:sz w:val="24"/>
          <w:szCs w:val="24"/>
        </w:rPr>
        <w:t>Complexidade (pessoal, tecnol</w:t>
      </w:r>
      <w:r w:rsidR="00414338" w:rsidRPr="00D477EC">
        <w:rPr>
          <w:rFonts w:asciiTheme="minorHAnsi" w:hAnsiTheme="minorHAnsi" w:cstheme="majorHAnsi"/>
          <w:sz w:val="24"/>
          <w:szCs w:val="24"/>
        </w:rPr>
        <w:t>ogias, materiais e orçamento);</w:t>
      </w:r>
    </w:p>
    <w:p w14:paraId="5E896C37" w14:textId="61C1DEFA" w:rsidR="0012080A" w:rsidRPr="00D477EC" w:rsidRDefault="00414338" w:rsidP="0012080A">
      <w:pPr>
        <w:pStyle w:val="PargrafodaLista"/>
        <w:widowControl w:val="0"/>
        <w:numPr>
          <w:ilvl w:val="0"/>
          <w:numId w:val="1"/>
        </w:numPr>
        <w:pBdr>
          <w:top w:val="nil"/>
          <w:left w:val="nil"/>
          <w:bottom w:val="nil"/>
          <w:right w:val="nil"/>
          <w:between w:val="nil"/>
        </w:pBdr>
        <w:spacing w:before="257" w:line="360" w:lineRule="auto"/>
        <w:ind w:right="137"/>
        <w:jc w:val="both"/>
        <w:rPr>
          <w:rFonts w:asciiTheme="minorHAnsi" w:hAnsiTheme="minorHAnsi" w:cstheme="majorHAnsi"/>
          <w:sz w:val="24"/>
          <w:szCs w:val="24"/>
        </w:rPr>
      </w:pPr>
      <w:r w:rsidRPr="00D477EC">
        <w:rPr>
          <w:rFonts w:asciiTheme="minorHAnsi" w:hAnsiTheme="minorHAnsi" w:cstheme="majorHAnsi"/>
          <w:sz w:val="24"/>
          <w:szCs w:val="24"/>
        </w:rPr>
        <w:t>Índice de reclamações formais;</w:t>
      </w:r>
    </w:p>
    <w:p w14:paraId="65941561" w14:textId="5F36F317" w:rsidR="00414338" w:rsidRPr="00D477EC" w:rsidRDefault="00414338" w:rsidP="0012080A">
      <w:pPr>
        <w:pStyle w:val="PargrafodaLista"/>
        <w:widowControl w:val="0"/>
        <w:numPr>
          <w:ilvl w:val="0"/>
          <w:numId w:val="1"/>
        </w:numPr>
        <w:pBdr>
          <w:top w:val="nil"/>
          <w:left w:val="nil"/>
          <w:bottom w:val="nil"/>
          <w:right w:val="nil"/>
          <w:between w:val="nil"/>
        </w:pBdr>
        <w:spacing w:before="257" w:line="360" w:lineRule="auto"/>
        <w:ind w:right="137"/>
        <w:jc w:val="both"/>
        <w:rPr>
          <w:rFonts w:asciiTheme="minorHAnsi" w:hAnsiTheme="minorHAnsi" w:cstheme="majorHAnsi"/>
          <w:sz w:val="24"/>
          <w:szCs w:val="24"/>
        </w:rPr>
      </w:pPr>
      <w:r w:rsidRPr="00D477EC">
        <w:rPr>
          <w:rFonts w:asciiTheme="minorHAnsi" w:hAnsiTheme="minorHAnsi" w:cstheme="majorHAnsi"/>
          <w:sz w:val="24"/>
          <w:szCs w:val="24"/>
        </w:rPr>
        <w:t>entre outros.</w:t>
      </w:r>
    </w:p>
    <w:p w14:paraId="5909723D" w14:textId="77777777" w:rsidR="0012080A" w:rsidRPr="00D477EC" w:rsidRDefault="0012080A" w:rsidP="00C869C0">
      <w:pPr>
        <w:pStyle w:val="Corpo"/>
        <w:rPr>
          <w:color w:val="auto"/>
        </w:rPr>
      </w:pPr>
      <w:r w:rsidRPr="00D477EC">
        <w:rPr>
          <w:color w:val="auto"/>
        </w:rPr>
        <w:t>Por fim, o GT encaminhará a Matriz de Priorização de Processos ao CSC, para a comissão selecionar os processos a serem submetidos ao gerenciamento de riscos.</w:t>
      </w:r>
    </w:p>
    <w:p w14:paraId="2863565E" w14:textId="77777777" w:rsidR="0012080A" w:rsidRPr="00D477EC" w:rsidRDefault="0012080A" w:rsidP="00BB7055">
      <w:pPr>
        <w:pStyle w:val="Ttulo10"/>
        <w:numPr>
          <w:ilvl w:val="1"/>
          <w:numId w:val="7"/>
        </w:numPr>
      </w:pPr>
      <w:bookmarkStart w:id="9" w:name="_Toc220061117"/>
      <w:r w:rsidRPr="00D477EC">
        <w:t>Gerenciamento de Riscos</w:t>
      </w:r>
      <w:bookmarkEnd w:id="9"/>
    </w:p>
    <w:p w14:paraId="05F52107" w14:textId="77777777" w:rsidR="0012080A" w:rsidRPr="00D477EC" w:rsidRDefault="0012080A" w:rsidP="00C869C0">
      <w:pPr>
        <w:pStyle w:val="Corpo"/>
        <w:rPr>
          <w:color w:val="auto"/>
        </w:rPr>
      </w:pPr>
      <w:r w:rsidRPr="00D477EC">
        <w:rPr>
          <w:color w:val="auto"/>
        </w:rPr>
        <w:t xml:space="preserve">O gerenciamento de riscos deverá ser implementado de forma gradual em todas as áreas da instituição, com início nos processos priorizados e conterá, no mínimo, as seguintes etapas: </w:t>
      </w:r>
    </w:p>
    <w:p w14:paraId="2800CAF5"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Análise do ambiente:</w:t>
      </w:r>
      <w:r w:rsidRPr="00D477EC">
        <w:rPr>
          <w:rFonts w:asciiTheme="minorHAnsi" w:hAnsiTheme="minorHAnsi" w:cstheme="majorHAnsi"/>
          <w:sz w:val="24"/>
          <w:szCs w:val="24"/>
        </w:rPr>
        <w:t xml:space="preserve"> apresentação da missão e visão da instituição, do apetite a riscos e das informações gerais do processo submetido ao gerenciamento de riscos, inclusive dos fatores internos e externos que afetam o processo (SWOT). Missão é o motivo pelo qual a instituição existe e o que orienta sua atuação, e visão é a situação futura que a instituição deseja alcançar e que orienta seu planejamento.</w:t>
      </w:r>
    </w:p>
    <w:p w14:paraId="4176E26F"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Identificação de riscos:</w:t>
      </w:r>
      <w:r w:rsidRPr="00D477EC">
        <w:rPr>
          <w:rFonts w:asciiTheme="minorHAnsi" w:hAnsiTheme="minorHAnsi" w:cstheme="majorHAnsi"/>
          <w:sz w:val="24"/>
          <w:szCs w:val="24"/>
        </w:rPr>
        <w:t xml:space="preserve"> descrição dos riscos, das causas e das consequências, relacionados às atividades do processo. Risco é a possibilidade de ocorrência de eventos incertos que possam impactar negativamente o alcance dos objetivos institucionais. Causas são os fatores internos e externos geradores de riscos. E consequência é o impacto da materialização do risco.</w:t>
      </w:r>
    </w:p>
    <w:p w14:paraId="08D99677"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b/>
          <w:sz w:val="24"/>
          <w:szCs w:val="24"/>
        </w:rPr>
      </w:pPr>
      <w:r w:rsidRPr="00D477EC">
        <w:rPr>
          <w:rFonts w:asciiTheme="minorHAnsi" w:hAnsiTheme="minorHAnsi" w:cstheme="majorHAnsi"/>
          <w:b/>
          <w:sz w:val="24"/>
          <w:szCs w:val="24"/>
        </w:rPr>
        <w:t xml:space="preserve">Classificação dos riscos: </w:t>
      </w:r>
      <w:r w:rsidRPr="00D477EC">
        <w:rPr>
          <w:rFonts w:asciiTheme="minorHAnsi" w:hAnsiTheme="minorHAnsi" w:cstheme="majorHAnsi"/>
          <w:sz w:val="24"/>
          <w:szCs w:val="24"/>
        </w:rPr>
        <w:t>classificação dos riscos identificados dentre as classes de riscos, tais como: estratégico, operacional, integridade, imagem, conformidade e orçamentário/financeiro. O risco pode possuir características de mais de uma classe, porém o gestor de riscos deve escolher a predominante.</w:t>
      </w:r>
    </w:p>
    <w:p w14:paraId="1E6E1A6A"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 xml:space="preserve">Identificação e avaliação dos controles internos: </w:t>
      </w:r>
      <w:r w:rsidRPr="00D477EC">
        <w:rPr>
          <w:rFonts w:asciiTheme="minorHAnsi" w:hAnsiTheme="minorHAnsi" w:cstheme="majorHAnsi"/>
          <w:sz w:val="24"/>
          <w:szCs w:val="24"/>
        </w:rPr>
        <w:t xml:space="preserve">descrição dos controles </w:t>
      </w:r>
      <w:r w:rsidRPr="00D477EC">
        <w:rPr>
          <w:rFonts w:asciiTheme="minorHAnsi" w:hAnsiTheme="minorHAnsi" w:cstheme="majorHAnsi"/>
          <w:sz w:val="24"/>
          <w:szCs w:val="24"/>
        </w:rPr>
        <w:lastRenderedPageBreak/>
        <w:t>internos existentes, ou seja, de normas, de procedimentos e de outros mecanismos em realização para prevenir, corrigir e monitorar os riscos nos processos. Os controles existentes podem ser avaliados como: inexistente, fraco, mediano, satisfatório ou forte.</w:t>
      </w:r>
    </w:p>
    <w:p w14:paraId="00F81D6B"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 xml:space="preserve">Avaliação dos riscos: </w:t>
      </w:r>
      <w:r w:rsidRPr="00D477EC">
        <w:rPr>
          <w:rFonts w:asciiTheme="minorHAnsi" w:hAnsiTheme="minorHAnsi" w:cstheme="majorHAnsi"/>
          <w:sz w:val="24"/>
          <w:szCs w:val="24"/>
        </w:rPr>
        <w:t>avaliação da probabilidade e do impacto do risco residual (risco considerados os controles existentes) pelo gestor de riscos. Quanto ao risco inerente (risco desconsiderados os controles existentes), este será apenas evidenciado automaticamente no gerenciamento de riscos.</w:t>
      </w:r>
    </w:p>
    <w:p w14:paraId="498D3B3B" w14:textId="1263DA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Tratamento dos riscos</w:t>
      </w:r>
      <w:r w:rsidRPr="00D477EC">
        <w:rPr>
          <w:rFonts w:asciiTheme="minorHAnsi" w:hAnsiTheme="minorHAnsi" w:cstheme="majorHAnsi"/>
          <w:sz w:val="24"/>
          <w:szCs w:val="24"/>
        </w:rPr>
        <w:t>: definição de resposta ao risco identificado e avaliado. Em geral, aceita-se o risco que possui o nível de risco igual ou inferior ao apetite e trata-se o risco que possui o nível superior ao apetite.  Em caso de tratamento do risco, deve-se escolher entre as opções</w:t>
      </w:r>
      <w:r w:rsidR="00657841" w:rsidRPr="00D477EC">
        <w:rPr>
          <w:rFonts w:asciiTheme="minorHAnsi" w:hAnsiTheme="minorHAnsi" w:cstheme="majorHAnsi"/>
          <w:sz w:val="24"/>
          <w:szCs w:val="24"/>
        </w:rPr>
        <w:t xml:space="preserve"> –</w:t>
      </w:r>
      <w:r w:rsidRPr="00D477EC">
        <w:rPr>
          <w:rFonts w:asciiTheme="minorHAnsi" w:hAnsiTheme="minorHAnsi" w:cstheme="majorHAnsi"/>
          <w:sz w:val="24"/>
          <w:szCs w:val="24"/>
        </w:rPr>
        <w:t xml:space="preserve"> reduzir, compartilhar/transferir e evitar </w:t>
      </w:r>
      <w:r w:rsidR="00657841" w:rsidRPr="00D477EC">
        <w:rPr>
          <w:rFonts w:asciiTheme="minorHAnsi" w:hAnsiTheme="minorHAnsi" w:cstheme="majorHAnsi"/>
          <w:sz w:val="24"/>
          <w:szCs w:val="24"/>
        </w:rPr>
        <w:t xml:space="preserve">– </w:t>
      </w:r>
      <w:r w:rsidRPr="00D477EC">
        <w:rPr>
          <w:rFonts w:asciiTheme="minorHAnsi" w:hAnsiTheme="minorHAnsi" w:cstheme="majorHAnsi"/>
          <w:sz w:val="24"/>
          <w:szCs w:val="24"/>
        </w:rPr>
        <w:t>e descrever o controle proposto, o setor e o servidor responsáveis e o período da realização.</w:t>
      </w:r>
    </w:p>
    <w:p w14:paraId="4A262A77"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Monitoramento contínuo dos riscos:</w:t>
      </w:r>
      <w:r w:rsidRPr="00D477EC">
        <w:rPr>
          <w:rFonts w:asciiTheme="minorHAnsi" w:hAnsiTheme="minorHAnsi" w:cstheme="majorHAnsi"/>
          <w:sz w:val="24"/>
          <w:szCs w:val="24"/>
        </w:rPr>
        <w:t xml:space="preserve"> acompanhamento realizado pelo gestor de riscos e pelos responsáveis pelos processos, destinado a verificar se os controles propostos foram implementados e se mitigaram adequadamente os riscos.</w:t>
      </w:r>
    </w:p>
    <w:p w14:paraId="3537E8FA"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4" w:line="360" w:lineRule="auto"/>
        <w:ind w:right="141"/>
        <w:jc w:val="both"/>
        <w:rPr>
          <w:rFonts w:asciiTheme="minorHAnsi" w:hAnsiTheme="minorHAnsi" w:cstheme="majorHAnsi"/>
          <w:sz w:val="24"/>
          <w:szCs w:val="24"/>
        </w:rPr>
      </w:pPr>
      <w:r w:rsidRPr="00D477EC">
        <w:rPr>
          <w:rFonts w:asciiTheme="minorHAnsi" w:hAnsiTheme="minorHAnsi" w:cstheme="majorHAnsi"/>
          <w:b/>
          <w:sz w:val="24"/>
          <w:szCs w:val="24"/>
        </w:rPr>
        <w:t xml:space="preserve">Revisão dos riscos: </w:t>
      </w:r>
      <w:r w:rsidRPr="00D477EC">
        <w:rPr>
          <w:rFonts w:asciiTheme="minorHAnsi" w:hAnsiTheme="minorHAnsi" w:cstheme="majorHAnsi"/>
          <w:sz w:val="24"/>
          <w:szCs w:val="24"/>
        </w:rPr>
        <w:t>atividade periódica ou motivada por mudanças relevantes no contexto interno ou externo, destinada a reavaliar os riscos identificados, verificar a permanência de sua relevância e identificar novos riscos.</w:t>
      </w:r>
    </w:p>
    <w:p w14:paraId="3CF19F2E" w14:textId="77777777" w:rsidR="0012080A" w:rsidRPr="00D477EC" w:rsidRDefault="0012080A" w:rsidP="0012080A">
      <w:pPr>
        <w:pStyle w:val="PargrafodaLista"/>
        <w:widowControl w:val="0"/>
        <w:numPr>
          <w:ilvl w:val="0"/>
          <w:numId w:val="2"/>
        </w:numPr>
        <w:pBdr>
          <w:top w:val="nil"/>
          <w:left w:val="nil"/>
          <w:bottom w:val="nil"/>
          <w:right w:val="nil"/>
          <w:between w:val="nil"/>
        </w:pBdr>
        <w:spacing w:before="255" w:line="360" w:lineRule="auto"/>
        <w:ind w:right="140"/>
        <w:jc w:val="both"/>
        <w:rPr>
          <w:rFonts w:asciiTheme="minorHAnsi" w:hAnsiTheme="minorHAnsi" w:cstheme="majorHAnsi"/>
          <w:sz w:val="24"/>
          <w:szCs w:val="24"/>
        </w:rPr>
      </w:pPr>
      <w:r w:rsidRPr="00D477EC">
        <w:rPr>
          <w:rFonts w:asciiTheme="minorHAnsi" w:hAnsiTheme="minorHAnsi" w:cstheme="majorHAnsi"/>
          <w:b/>
          <w:sz w:val="24"/>
          <w:szCs w:val="24"/>
        </w:rPr>
        <w:t>Comunicação:</w:t>
      </w:r>
      <w:r w:rsidRPr="00D477EC">
        <w:rPr>
          <w:rFonts w:asciiTheme="minorHAnsi" w:hAnsiTheme="minorHAnsi" w:cstheme="majorHAnsi"/>
          <w:sz w:val="24"/>
          <w:szCs w:val="24"/>
        </w:rPr>
        <w:t xml:space="preserve"> identificação, captação e compartilhamento de informações relevantes, confiáveis e tempestivas, tanto internas quanto externas, para apoiar a tomada de decisões, a gestão de riscos e o alcance dos objetivos da instituição.</w:t>
      </w:r>
    </w:p>
    <w:p w14:paraId="3A3F2B0E" w14:textId="77777777" w:rsidR="0012080A" w:rsidRPr="00D477EC" w:rsidRDefault="0012080A" w:rsidP="00BB7055">
      <w:pPr>
        <w:pStyle w:val="Ttulo10"/>
      </w:pPr>
      <w:bookmarkStart w:id="10" w:name="_Toc220061118"/>
      <w:r w:rsidRPr="00D477EC">
        <w:t>CONCLUSÃO</w:t>
      </w:r>
      <w:bookmarkEnd w:id="10"/>
    </w:p>
    <w:p w14:paraId="2463808B" w14:textId="3037CE6A" w:rsidR="0012080A" w:rsidRPr="00D477EC" w:rsidRDefault="0095679B" w:rsidP="00C869C0">
      <w:pPr>
        <w:pStyle w:val="Corpo"/>
        <w:rPr>
          <w:color w:val="auto"/>
        </w:rPr>
      </w:pPr>
      <w:r w:rsidRPr="00D477EC">
        <w:rPr>
          <w:color w:val="auto"/>
        </w:rPr>
        <w:t>A</w:t>
      </w:r>
      <w:r w:rsidR="0012080A" w:rsidRPr="00D477EC">
        <w:rPr>
          <w:color w:val="auto"/>
        </w:rPr>
        <w:t xml:space="preserve"> Política de Gestão de Riscos consolida o modelo institucional adotado para orientar a condução, a coordenação e o acompanhamento da gestão de riscos, estabelecendo papéis e procedimentos a serem observados na instituição. A aplicação consistente de suas diretrizes contribui para o fortalecimento da governança, para a </w:t>
      </w:r>
      <w:r w:rsidR="0012080A" w:rsidRPr="00D477EC">
        <w:rPr>
          <w:color w:val="auto"/>
        </w:rPr>
        <w:lastRenderedPageBreak/>
        <w:t>racionalização dos controles internos e para o suporte qualificado à tomada de decisão, em alinhamento com os objetivos estratégicos e o apetite a riscos institucional.</w:t>
      </w:r>
    </w:p>
    <w:p w14:paraId="184720C7" w14:textId="77777777" w:rsidR="00145E02" w:rsidRPr="00D477EC" w:rsidRDefault="0012080A" w:rsidP="00C869C0">
      <w:pPr>
        <w:pStyle w:val="Corpo"/>
        <w:rPr>
          <w:color w:val="auto"/>
        </w:rPr>
      </w:pPr>
      <w:r w:rsidRPr="00D477EC">
        <w:rPr>
          <w:color w:val="auto"/>
        </w:rPr>
        <w:t>Esta Política entra em vigor na data de sua aprovação, devendo ser amplamente divulgada e aplicada em toda a instituição. Ela será revista a cada 2 (dois) anos ou sempre que necessário, mediante proposta do CSC, a fim de se manter atualizada frente às mudanças nos ambientes interno ou externo. O CSC ainda poderá deliberar sobre os atos necessários à regulamentação da Política e decidir sobre os casos omissos, sem prejuízo da existência de outras políticas de gestão de riscos específicas, desde que compatíveis com as diretrizes gerais aqui estabelecidas.</w:t>
      </w:r>
    </w:p>
    <w:sectPr w:rsidR="00145E02" w:rsidRPr="00D477EC" w:rsidSect="002935E3">
      <w:headerReference w:type="default" r:id="rId10"/>
      <w:footerReference w:type="default" r:id="rId11"/>
      <w:pgSz w:w="11900" w:h="16820"/>
      <w:pgMar w:top="1396" w:right="1640" w:bottom="1555" w:left="1698" w:header="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989C3" w14:textId="77777777" w:rsidR="001308AF" w:rsidRDefault="001308AF" w:rsidP="007958FC">
      <w:pPr>
        <w:spacing w:line="240" w:lineRule="auto"/>
      </w:pPr>
      <w:r>
        <w:separator/>
      </w:r>
    </w:p>
  </w:endnote>
  <w:endnote w:type="continuationSeparator" w:id="0">
    <w:p w14:paraId="559ABD7F" w14:textId="77777777" w:rsidR="001308AF" w:rsidRDefault="001308AF" w:rsidP="00795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DDB7C" w14:textId="77777777" w:rsidR="00743F63" w:rsidRDefault="00743F6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410432"/>
      <w:docPartObj>
        <w:docPartGallery w:val="Page Numbers (Bottom of Page)"/>
        <w:docPartUnique/>
      </w:docPartObj>
    </w:sdtPr>
    <w:sdtEndPr/>
    <w:sdtContent>
      <w:p w14:paraId="1E90BB8D" w14:textId="2330B0D3" w:rsidR="002935E3" w:rsidRDefault="002935E3">
        <w:pPr>
          <w:pStyle w:val="Rodap"/>
          <w:jc w:val="right"/>
        </w:pPr>
        <w:r>
          <w:fldChar w:fldCharType="begin"/>
        </w:r>
        <w:r>
          <w:instrText>PAGE   \* MERGEFORMAT</w:instrText>
        </w:r>
        <w:r>
          <w:fldChar w:fldCharType="separate"/>
        </w:r>
        <w:r w:rsidR="00330F80">
          <w:rPr>
            <w:noProof/>
          </w:rPr>
          <w:t>10</w:t>
        </w:r>
        <w:r>
          <w:fldChar w:fldCharType="end"/>
        </w:r>
      </w:p>
    </w:sdtContent>
  </w:sdt>
  <w:p w14:paraId="188B8F5F" w14:textId="77777777" w:rsidR="002935E3" w:rsidRDefault="002935E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4D946" w14:textId="77777777" w:rsidR="001308AF" w:rsidRDefault="001308AF" w:rsidP="007958FC">
      <w:pPr>
        <w:spacing w:line="240" w:lineRule="auto"/>
      </w:pPr>
      <w:r>
        <w:separator/>
      </w:r>
    </w:p>
  </w:footnote>
  <w:footnote w:type="continuationSeparator" w:id="0">
    <w:p w14:paraId="6CB9F62E" w14:textId="77777777" w:rsidR="001308AF" w:rsidRDefault="001308AF" w:rsidP="007958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EDEDE" w14:textId="77777777" w:rsidR="00743F63" w:rsidRDefault="00743F63">
    <w:pPr>
      <w:pStyle w:val="Cabealho"/>
    </w:pPr>
    <w:r>
      <w:rPr>
        <w:noProof/>
      </w:rPr>
      <w:drawing>
        <wp:anchor distT="0" distB="0" distL="114300" distR="114300" simplePos="0" relativeHeight="251664384" behindDoc="1" locked="1" layoutInCell="1" allowOverlap="1" wp14:anchorId="6E08E155" wp14:editId="30F853FF">
          <wp:simplePos x="0" y="0"/>
          <wp:positionH relativeFrom="page">
            <wp:posOffset>0</wp:posOffset>
          </wp:positionH>
          <wp:positionV relativeFrom="page">
            <wp:posOffset>0</wp:posOffset>
          </wp:positionV>
          <wp:extent cx="7560000" cy="10692000"/>
          <wp:effectExtent l="0" t="0" r="3175" b="0"/>
          <wp:wrapNone/>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hatGPT Image 8 de abr. de 2026, 08_54_36.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DD677" w14:textId="77777777" w:rsidR="009F276A" w:rsidRDefault="009F276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6F26"/>
    <w:multiLevelType w:val="hybridMultilevel"/>
    <w:tmpl w:val="2B7A5980"/>
    <w:lvl w:ilvl="0" w:tplc="04160001">
      <w:start w:val="1"/>
      <w:numFmt w:val="bullet"/>
      <w:lvlText w:val=""/>
      <w:lvlJc w:val="left"/>
      <w:pPr>
        <w:ind w:left="743" w:hanging="360"/>
      </w:pPr>
      <w:rPr>
        <w:rFonts w:ascii="Symbol" w:hAnsi="Symbol" w:hint="default"/>
      </w:rPr>
    </w:lvl>
    <w:lvl w:ilvl="1" w:tplc="04160003" w:tentative="1">
      <w:start w:val="1"/>
      <w:numFmt w:val="bullet"/>
      <w:lvlText w:val="o"/>
      <w:lvlJc w:val="left"/>
      <w:pPr>
        <w:ind w:left="1463" w:hanging="360"/>
      </w:pPr>
      <w:rPr>
        <w:rFonts w:ascii="Courier New" w:hAnsi="Courier New" w:cs="Courier New" w:hint="default"/>
      </w:rPr>
    </w:lvl>
    <w:lvl w:ilvl="2" w:tplc="04160005" w:tentative="1">
      <w:start w:val="1"/>
      <w:numFmt w:val="bullet"/>
      <w:lvlText w:val=""/>
      <w:lvlJc w:val="left"/>
      <w:pPr>
        <w:ind w:left="2183" w:hanging="360"/>
      </w:pPr>
      <w:rPr>
        <w:rFonts w:ascii="Wingdings" w:hAnsi="Wingdings" w:hint="default"/>
      </w:rPr>
    </w:lvl>
    <w:lvl w:ilvl="3" w:tplc="04160001" w:tentative="1">
      <w:start w:val="1"/>
      <w:numFmt w:val="bullet"/>
      <w:lvlText w:val=""/>
      <w:lvlJc w:val="left"/>
      <w:pPr>
        <w:ind w:left="2903" w:hanging="360"/>
      </w:pPr>
      <w:rPr>
        <w:rFonts w:ascii="Symbol" w:hAnsi="Symbol" w:hint="default"/>
      </w:rPr>
    </w:lvl>
    <w:lvl w:ilvl="4" w:tplc="04160003" w:tentative="1">
      <w:start w:val="1"/>
      <w:numFmt w:val="bullet"/>
      <w:lvlText w:val="o"/>
      <w:lvlJc w:val="left"/>
      <w:pPr>
        <w:ind w:left="3623" w:hanging="360"/>
      </w:pPr>
      <w:rPr>
        <w:rFonts w:ascii="Courier New" w:hAnsi="Courier New" w:cs="Courier New" w:hint="default"/>
      </w:rPr>
    </w:lvl>
    <w:lvl w:ilvl="5" w:tplc="04160005" w:tentative="1">
      <w:start w:val="1"/>
      <w:numFmt w:val="bullet"/>
      <w:lvlText w:val=""/>
      <w:lvlJc w:val="left"/>
      <w:pPr>
        <w:ind w:left="4343" w:hanging="360"/>
      </w:pPr>
      <w:rPr>
        <w:rFonts w:ascii="Wingdings" w:hAnsi="Wingdings" w:hint="default"/>
      </w:rPr>
    </w:lvl>
    <w:lvl w:ilvl="6" w:tplc="04160001" w:tentative="1">
      <w:start w:val="1"/>
      <w:numFmt w:val="bullet"/>
      <w:lvlText w:val=""/>
      <w:lvlJc w:val="left"/>
      <w:pPr>
        <w:ind w:left="5063" w:hanging="360"/>
      </w:pPr>
      <w:rPr>
        <w:rFonts w:ascii="Symbol" w:hAnsi="Symbol" w:hint="default"/>
      </w:rPr>
    </w:lvl>
    <w:lvl w:ilvl="7" w:tplc="04160003" w:tentative="1">
      <w:start w:val="1"/>
      <w:numFmt w:val="bullet"/>
      <w:lvlText w:val="o"/>
      <w:lvlJc w:val="left"/>
      <w:pPr>
        <w:ind w:left="5783" w:hanging="360"/>
      </w:pPr>
      <w:rPr>
        <w:rFonts w:ascii="Courier New" w:hAnsi="Courier New" w:cs="Courier New" w:hint="default"/>
      </w:rPr>
    </w:lvl>
    <w:lvl w:ilvl="8" w:tplc="04160005" w:tentative="1">
      <w:start w:val="1"/>
      <w:numFmt w:val="bullet"/>
      <w:lvlText w:val=""/>
      <w:lvlJc w:val="left"/>
      <w:pPr>
        <w:ind w:left="6503" w:hanging="360"/>
      </w:pPr>
      <w:rPr>
        <w:rFonts w:ascii="Wingdings" w:hAnsi="Wingdings" w:hint="default"/>
      </w:rPr>
    </w:lvl>
  </w:abstractNum>
  <w:abstractNum w:abstractNumId="1" w15:restartNumberingAfterBreak="0">
    <w:nsid w:val="132779E3"/>
    <w:multiLevelType w:val="hybridMultilevel"/>
    <w:tmpl w:val="BD9455C2"/>
    <w:lvl w:ilvl="0" w:tplc="04160001">
      <w:start w:val="1"/>
      <w:numFmt w:val="bullet"/>
      <w:lvlText w:val=""/>
      <w:lvlJc w:val="left"/>
      <w:pPr>
        <w:ind w:left="743" w:hanging="360"/>
      </w:pPr>
      <w:rPr>
        <w:rFonts w:ascii="Symbol" w:hAnsi="Symbol" w:hint="default"/>
      </w:rPr>
    </w:lvl>
    <w:lvl w:ilvl="1" w:tplc="04160003" w:tentative="1">
      <w:start w:val="1"/>
      <w:numFmt w:val="bullet"/>
      <w:lvlText w:val="o"/>
      <w:lvlJc w:val="left"/>
      <w:pPr>
        <w:ind w:left="1463" w:hanging="360"/>
      </w:pPr>
      <w:rPr>
        <w:rFonts w:ascii="Courier New" w:hAnsi="Courier New" w:cs="Courier New" w:hint="default"/>
      </w:rPr>
    </w:lvl>
    <w:lvl w:ilvl="2" w:tplc="04160005" w:tentative="1">
      <w:start w:val="1"/>
      <w:numFmt w:val="bullet"/>
      <w:lvlText w:val=""/>
      <w:lvlJc w:val="left"/>
      <w:pPr>
        <w:ind w:left="2183" w:hanging="360"/>
      </w:pPr>
      <w:rPr>
        <w:rFonts w:ascii="Wingdings" w:hAnsi="Wingdings" w:hint="default"/>
      </w:rPr>
    </w:lvl>
    <w:lvl w:ilvl="3" w:tplc="04160001" w:tentative="1">
      <w:start w:val="1"/>
      <w:numFmt w:val="bullet"/>
      <w:lvlText w:val=""/>
      <w:lvlJc w:val="left"/>
      <w:pPr>
        <w:ind w:left="2903" w:hanging="360"/>
      </w:pPr>
      <w:rPr>
        <w:rFonts w:ascii="Symbol" w:hAnsi="Symbol" w:hint="default"/>
      </w:rPr>
    </w:lvl>
    <w:lvl w:ilvl="4" w:tplc="04160003" w:tentative="1">
      <w:start w:val="1"/>
      <w:numFmt w:val="bullet"/>
      <w:lvlText w:val="o"/>
      <w:lvlJc w:val="left"/>
      <w:pPr>
        <w:ind w:left="3623" w:hanging="360"/>
      </w:pPr>
      <w:rPr>
        <w:rFonts w:ascii="Courier New" w:hAnsi="Courier New" w:cs="Courier New" w:hint="default"/>
      </w:rPr>
    </w:lvl>
    <w:lvl w:ilvl="5" w:tplc="04160005" w:tentative="1">
      <w:start w:val="1"/>
      <w:numFmt w:val="bullet"/>
      <w:lvlText w:val=""/>
      <w:lvlJc w:val="left"/>
      <w:pPr>
        <w:ind w:left="4343" w:hanging="360"/>
      </w:pPr>
      <w:rPr>
        <w:rFonts w:ascii="Wingdings" w:hAnsi="Wingdings" w:hint="default"/>
      </w:rPr>
    </w:lvl>
    <w:lvl w:ilvl="6" w:tplc="04160001" w:tentative="1">
      <w:start w:val="1"/>
      <w:numFmt w:val="bullet"/>
      <w:lvlText w:val=""/>
      <w:lvlJc w:val="left"/>
      <w:pPr>
        <w:ind w:left="5063" w:hanging="360"/>
      </w:pPr>
      <w:rPr>
        <w:rFonts w:ascii="Symbol" w:hAnsi="Symbol" w:hint="default"/>
      </w:rPr>
    </w:lvl>
    <w:lvl w:ilvl="7" w:tplc="04160003" w:tentative="1">
      <w:start w:val="1"/>
      <w:numFmt w:val="bullet"/>
      <w:lvlText w:val="o"/>
      <w:lvlJc w:val="left"/>
      <w:pPr>
        <w:ind w:left="5783" w:hanging="360"/>
      </w:pPr>
      <w:rPr>
        <w:rFonts w:ascii="Courier New" w:hAnsi="Courier New" w:cs="Courier New" w:hint="default"/>
      </w:rPr>
    </w:lvl>
    <w:lvl w:ilvl="8" w:tplc="04160005" w:tentative="1">
      <w:start w:val="1"/>
      <w:numFmt w:val="bullet"/>
      <w:lvlText w:val=""/>
      <w:lvlJc w:val="left"/>
      <w:pPr>
        <w:ind w:left="6503" w:hanging="360"/>
      </w:pPr>
      <w:rPr>
        <w:rFonts w:ascii="Wingdings" w:hAnsi="Wingdings" w:hint="default"/>
      </w:rPr>
    </w:lvl>
  </w:abstractNum>
  <w:abstractNum w:abstractNumId="2" w15:restartNumberingAfterBreak="0">
    <w:nsid w:val="151C06E5"/>
    <w:multiLevelType w:val="hybridMultilevel"/>
    <w:tmpl w:val="AB9C1DEE"/>
    <w:lvl w:ilvl="0" w:tplc="04160001">
      <w:start w:val="1"/>
      <w:numFmt w:val="bullet"/>
      <w:lvlText w:val=""/>
      <w:lvlJc w:val="left"/>
      <w:pPr>
        <w:ind w:left="743" w:hanging="360"/>
      </w:pPr>
      <w:rPr>
        <w:rFonts w:ascii="Symbol" w:hAnsi="Symbol" w:hint="default"/>
      </w:rPr>
    </w:lvl>
    <w:lvl w:ilvl="1" w:tplc="04160019">
      <w:start w:val="1"/>
      <w:numFmt w:val="lowerLetter"/>
      <w:lvlText w:val="%2."/>
      <w:lvlJc w:val="left"/>
      <w:pPr>
        <w:ind w:left="1463" w:hanging="360"/>
      </w:pPr>
    </w:lvl>
    <w:lvl w:ilvl="2" w:tplc="0416001B" w:tentative="1">
      <w:start w:val="1"/>
      <w:numFmt w:val="lowerRoman"/>
      <w:lvlText w:val="%3."/>
      <w:lvlJc w:val="right"/>
      <w:pPr>
        <w:ind w:left="2183" w:hanging="180"/>
      </w:pPr>
    </w:lvl>
    <w:lvl w:ilvl="3" w:tplc="0416000F" w:tentative="1">
      <w:start w:val="1"/>
      <w:numFmt w:val="decimal"/>
      <w:lvlText w:val="%4."/>
      <w:lvlJc w:val="left"/>
      <w:pPr>
        <w:ind w:left="2903" w:hanging="360"/>
      </w:pPr>
    </w:lvl>
    <w:lvl w:ilvl="4" w:tplc="04160019" w:tentative="1">
      <w:start w:val="1"/>
      <w:numFmt w:val="lowerLetter"/>
      <w:lvlText w:val="%5."/>
      <w:lvlJc w:val="left"/>
      <w:pPr>
        <w:ind w:left="3623" w:hanging="360"/>
      </w:pPr>
    </w:lvl>
    <w:lvl w:ilvl="5" w:tplc="0416001B" w:tentative="1">
      <w:start w:val="1"/>
      <w:numFmt w:val="lowerRoman"/>
      <w:lvlText w:val="%6."/>
      <w:lvlJc w:val="right"/>
      <w:pPr>
        <w:ind w:left="4343" w:hanging="180"/>
      </w:pPr>
    </w:lvl>
    <w:lvl w:ilvl="6" w:tplc="0416000F" w:tentative="1">
      <w:start w:val="1"/>
      <w:numFmt w:val="decimal"/>
      <w:lvlText w:val="%7."/>
      <w:lvlJc w:val="left"/>
      <w:pPr>
        <w:ind w:left="5063" w:hanging="360"/>
      </w:pPr>
    </w:lvl>
    <w:lvl w:ilvl="7" w:tplc="04160019" w:tentative="1">
      <w:start w:val="1"/>
      <w:numFmt w:val="lowerLetter"/>
      <w:lvlText w:val="%8."/>
      <w:lvlJc w:val="left"/>
      <w:pPr>
        <w:ind w:left="5783" w:hanging="360"/>
      </w:pPr>
    </w:lvl>
    <w:lvl w:ilvl="8" w:tplc="0416001B" w:tentative="1">
      <w:start w:val="1"/>
      <w:numFmt w:val="lowerRoman"/>
      <w:lvlText w:val="%9."/>
      <w:lvlJc w:val="right"/>
      <w:pPr>
        <w:ind w:left="6503" w:hanging="180"/>
      </w:pPr>
    </w:lvl>
  </w:abstractNum>
  <w:abstractNum w:abstractNumId="3" w15:restartNumberingAfterBreak="0">
    <w:nsid w:val="21335806"/>
    <w:multiLevelType w:val="hybridMultilevel"/>
    <w:tmpl w:val="2A08BF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6E71BE6"/>
    <w:multiLevelType w:val="hybridMultilevel"/>
    <w:tmpl w:val="E3688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D1D0A44"/>
    <w:multiLevelType w:val="multilevel"/>
    <w:tmpl w:val="C28E6A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DFC0ED1"/>
    <w:multiLevelType w:val="multilevel"/>
    <w:tmpl w:val="DB26D204"/>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1"/>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08"/>
  <w:hyphenationZone w:val="425"/>
  <w:characterSpacingControl w:val="doNotCompress"/>
  <w:hdrShapeDefaults>
    <o:shapedefaults v:ext="edit" spidmax="2049">
      <o:colormru v:ext="edit" colors="#eff5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80A"/>
    <w:rsid w:val="0007463C"/>
    <w:rsid w:val="00084C9D"/>
    <w:rsid w:val="000A01E8"/>
    <w:rsid w:val="000E7AE2"/>
    <w:rsid w:val="00104506"/>
    <w:rsid w:val="0012080A"/>
    <w:rsid w:val="001308AF"/>
    <w:rsid w:val="00140E66"/>
    <w:rsid w:val="0014301D"/>
    <w:rsid w:val="00145ACE"/>
    <w:rsid w:val="00145E02"/>
    <w:rsid w:val="00147A35"/>
    <w:rsid w:val="00150407"/>
    <w:rsid w:val="001546B6"/>
    <w:rsid w:val="00166583"/>
    <w:rsid w:val="001B70CE"/>
    <w:rsid w:val="001C43D7"/>
    <w:rsid w:val="002935E3"/>
    <w:rsid w:val="00330F80"/>
    <w:rsid w:val="003372DE"/>
    <w:rsid w:val="00343F8B"/>
    <w:rsid w:val="00361968"/>
    <w:rsid w:val="003635D3"/>
    <w:rsid w:val="003D2C58"/>
    <w:rsid w:val="00414338"/>
    <w:rsid w:val="0044469C"/>
    <w:rsid w:val="004B5DE9"/>
    <w:rsid w:val="004E5C79"/>
    <w:rsid w:val="00556BD5"/>
    <w:rsid w:val="0062049A"/>
    <w:rsid w:val="00657841"/>
    <w:rsid w:val="006600B8"/>
    <w:rsid w:val="006E3C80"/>
    <w:rsid w:val="00743F63"/>
    <w:rsid w:val="0077241B"/>
    <w:rsid w:val="00777066"/>
    <w:rsid w:val="007958FC"/>
    <w:rsid w:val="007B1ED7"/>
    <w:rsid w:val="008257DE"/>
    <w:rsid w:val="00836CCA"/>
    <w:rsid w:val="00837ABB"/>
    <w:rsid w:val="00842FD2"/>
    <w:rsid w:val="00881966"/>
    <w:rsid w:val="008A52A1"/>
    <w:rsid w:val="00914AF4"/>
    <w:rsid w:val="00924936"/>
    <w:rsid w:val="0095679B"/>
    <w:rsid w:val="00967F90"/>
    <w:rsid w:val="009D2D99"/>
    <w:rsid w:val="009D7F67"/>
    <w:rsid w:val="009F276A"/>
    <w:rsid w:val="00A55760"/>
    <w:rsid w:val="00A7663A"/>
    <w:rsid w:val="00B044F4"/>
    <w:rsid w:val="00B3051E"/>
    <w:rsid w:val="00B35A54"/>
    <w:rsid w:val="00BB7055"/>
    <w:rsid w:val="00BB73C2"/>
    <w:rsid w:val="00BC7FCA"/>
    <w:rsid w:val="00C37987"/>
    <w:rsid w:val="00C61B8C"/>
    <w:rsid w:val="00C7339E"/>
    <w:rsid w:val="00C869C0"/>
    <w:rsid w:val="00CB1980"/>
    <w:rsid w:val="00D02C7B"/>
    <w:rsid w:val="00D101E5"/>
    <w:rsid w:val="00D362E6"/>
    <w:rsid w:val="00D470EB"/>
    <w:rsid w:val="00D477EC"/>
    <w:rsid w:val="00D734D1"/>
    <w:rsid w:val="00E63E74"/>
    <w:rsid w:val="00E74A84"/>
    <w:rsid w:val="00EF7DD1"/>
    <w:rsid w:val="00F21C59"/>
    <w:rsid w:val="00FD78F8"/>
    <w:rsid w:val="00FF427E"/>
    <w:rsid w:val="00FF77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ff5fb"/>
    </o:shapedefaults>
    <o:shapelayout v:ext="edit">
      <o:idmap v:ext="edit" data="1"/>
    </o:shapelayout>
  </w:shapeDefaults>
  <w:decimalSymbol w:val=","/>
  <w:listSeparator w:val=";"/>
  <w14:docId w14:val="2E012140"/>
  <w15:chartTrackingRefBased/>
  <w15:docId w15:val="{8296FF3F-9CCE-4D9B-83A5-6D16AAFCA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2080A"/>
    <w:pPr>
      <w:spacing w:after="0" w:line="276" w:lineRule="auto"/>
    </w:pPr>
    <w:rPr>
      <w:rFonts w:ascii="Arial" w:eastAsia="Arial" w:hAnsi="Arial" w:cs="Arial"/>
      <w:lang w:eastAsia="pt-BR"/>
    </w:rPr>
  </w:style>
  <w:style w:type="paragraph" w:styleId="Ttulo10">
    <w:name w:val="heading 1"/>
    <w:basedOn w:val="Normal"/>
    <w:next w:val="Normal"/>
    <w:link w:val="Ttulo1Char"/>
    <w:uiPriority w:val="9"/>
    <w:qFormat/>
    <w:rsid w:val="0012080A"/>
    <w:pPr>
      <w:keepNext/>
      <w:keepLines/>
      <w:spacing w:before="240"/>
      <w:outlineLvl w:val="0"/>
    </w:pPr>
    <w:rPr>
      <w:rFonts w:asciiTheme="minorHAnsi" w:eastAsiaTheme="majorEastAsia" w:hAnsiTheme="minorHAnsi" w:cstheme="minorHAnsi"/>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12080A"/>
    <w:pPr>
      <w:ind w:left="720"/>
      <w:contextualSpacing/>
    </w:pPr>
  </w:style>
  <w:style w:type="paragraph" w:styleId="NormalWeb">
    <w:name w:val="Normal (Web)"/>
    <w:basedOn w:val="Normal"/>
    <w:uiPriority w:val="99"/>
    <w:semiHidden/>
    <w:unhideWhenUsed/>
    <w:rsid w:val="001208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1">
    <w:name w:val="Título1"/>
    <w:basedOn w:val="PargrafodaLista"/>
    <w:link w:val="Ttulo1Char0"/>
    <w:rsid w:val="0012080A"/>
    <w:pPr>
      <w:widowControl w:val="0"/>
      <w:numPr>
        <w:numId w:val="6"/>
      </w:numPr>
      <w:pBdr>
        <w:top w:val="nil"/>
        <w:left w:val="nil"/>
        <w:bottom w:val="nil"/>
        <w:right w:val="nil"/>
        <w:between w:val="nil"/>
      </w:pBdr>
      <w:spacing w:line="360" w:lineRule="auto"/>
      <w:jc w:val="both"/>
    </w:pPr>
    <w:rPr>
      <w:rFonts w:asciiTheme="majorHAnsi" w:hAnsiTheme="majorHAnsi" w:cstheme="majorHAnsi"/>
      <w:b/>
      <w:color w:val="000000"/>
      <w:sz w:val="24"/>
      <w:szCs w:val="24"/>
    </w:rPr>
  </w:style>
  <w:style w:type="character" w:customStyle="1" w:styleId="PargrafodaListaChar">
    <w:name w:val="Parágrafo da Lista Char"/>
    <w:basedOn w:val="Fontepargpadro"/>
    <w:link w:val="PargrafodaLista"/>
    <w:uiPriority w:val="34"/>
    <w:rsid w:val="0012080A"/>
    <w:rPr>
      <w:rFonts w:ascii="Arial" w:eastAsia="Arial" w:hAnsi="Arial" w:cs="Arial"/>
      <w:lang w:eastAsia="pt-BR"/>
    </w:rPr>
  </w:style>
  <w:style w:type="character" w:customStyle="1" w:styleId="Ttulo1Char0">
    <w:name w:val="Título1 Char"/>
    <w:basedOn w:val="PargrafodaListaChar"/>
    <w:link w:val="Ttulo1"/>
    <w:rsid w:val="0012080A"/>
    <w:rPr>
      <w:rFonts w:asciiTheme="majorHAnsi" w:eastAsia="Arial" w:hAnsiTheme="majorHAnsi" w:cstheme="majorHAnsi"/>
      <w:b/>
      <w:color w:val="000000"/>
      <w:sz w:val="24"/>
      <w:szCs w:val="24"/>
      <w:lang w:eastAsia="pt-BR"/>
    </w:rPr>
  </w:style>
  <w:style w:type="character" w:customStyle="1" w:styleId="Ttulo1Char">
    <w:name w:val="Título 1 Char"/>
    <w:basedOn w:val="Fontepargpadro"/>
    <w:link w:val="Ttulo10"/>
    <w:uiPriority w:val="9"/>
    <w:rsid w:val="0012080A"/>
    <w:rPr>
      <w:rFonts w:eastAsiaTheme="majorEastAsia" w:cstheme="minorHAnsi"/>
      <w:b/>
      <w:sz w:val="24"/>
      <w:szCs w:val="24"/>
      <w:lang w:eastAsia="pt-BR"/>
    </w:rPr>
  </w:style>
  <w:style w:type="paragraph" w:styleId="CabealhodoSumrio">
    <w:name w:val="TOC Heading"/>
    <w:basedOn w:val="Ttulo10"/>
    <w:next w:val="Normal"/>
    <w:uiPriority w:val="39"/>
    <w:unhideWhenUsed/>
    <w:qFormat/>
    <w:rsid w:val="0012080A"/>
    <w:pPr>
      <w:spacing w:line="259" w:lineRule="auto"/>
      <w:outlineLvl w:val="9"/>
    </w:pPr>
    <w:rPr>
      <w:rFonts w:asciiTheme="majorHAnsi" w:hAnsiTheme="majorHAnsi" w:cstheme="majorBidi"/>
      <w:b w:val="0"/>
      <w:color w:val="2E74B5" w:themeColor="accent1" w:themeShade="BF"/>
      <w:sz w:val="32"/>
      <w:szCs w:val="32"/>
    </w:rPr>
  </w:style>
  <w:style w:type="paragraph" w:styleId="Sumrio1">
    <w:name w:val="toc 1"/>
    <w:basedOn w:val="Normal"/>
    <w:next w:val="Normal"/>
    <w:autoRedefine/>
    <w:uiPriority w:val="39"/>
    <w:unhideWhenUsed/>
    <w:rsid w:val="0012080A"/>
    <w:pPr>
      <w:spacing w:after="100"/>
    </w:pPr>
  </w:style>
  <w:style w:type="character" w:styleId="Hyperlink">
    <w:name w:val="Hyperlink"/>
    <w:basedOn w:val="Fontepargpadro"/>
    <w:uiPriority w:val="99"/>
    <w:unhideWhenUsed/>
    <w:rsid w:val="0012080A"/>
    <w:rPr>
      <w:color w:val="0563C1" w:themeColor="hyperlink"/>
      <w:u w:val="single"/>
    </w:rPr>
  </w:style>
  <w:style w:type="paragraph" w:customStyle="1" w:styleId="Corpo">
    <w:name w:val="Corpo"/>
    <w:basedOn w:val="Normal"/>
    <w:link w:val="CorpoChar"/>
    <w:qFormat/>
    <w:rsid w:val="00C869C0"/>
    <w:pPr>
      <w:widowControl w:val="0"/>
      <w:pBdr>
        <w:top w:val="nil"/>
        <w:left w:val="nil"/>
        <w:bottom w:val="nil"/>
        <w:right w:val="nil"/>
        <w:between w:val="nil"/>
      </w:pBdr>
      <w:spacing w:before="258" w:line="360" w:lineRule="auto"/>
      <w:ind w:right="142" w:firstLine="709"/>
      <w:jc w:val="both"/>
    </w:pPr>
    <w:rPr>
      <w:rFonts w:asciiTheme="minorHAnsi" w:hAnsiTheme="minorHAnsi" w:cstheme="majorHAnsi"/>
      <w:color w:val="000000"/>
      <w:sz w:val="24"/>
      <w:szCs w:val="24"/>
    </w:rPr>
  </w:style>
  <w:style w:type="character" w:customStyle="1" w:styleId="CorpoChar">
    <w:name w:val="Corpo Char"/>
    <w:basedOn w:val="Fontepargpadro"/>
    <w:link w:val="Corpo"/>
    <w:rsid w:val="00C869C0"/>
    <w:rPr>
      <w:rFonts w:eastAsia="Arial" w:cstheme="majorHAnsi"/>
      <w:color w:val="000000"/>
      <w:sz w:val="24"/>
      <w:szCs w:val="24"/>
      <w:lang w:eastAsia="pt-BR"/>
    </w:rPr>
  </w:style>
  <w:style w:type="character" w:styleId="Refdecomentrio">
    <w:name w:val="annotation reference"/>
    <w:basedOn w:val="Fontepargpadro"/>
    <w:uiPriority w:val="99"/>
    <w:semiHidden/>
    <w:unhideWhenUsed/>
    <w:rsid w:val="0007463C"/>
    <w:rPr>
      <w:sz w:val="16"/>
      <w:szCs w:val="16"/>
    </w:rPr>
  </w:style>
  <w:style w:type="paragraph" w:styleId="Textodecomentrio">
    <w:name w:val="annotation text"/>
    <w:basedOn w:val="Normal"/>
    <w:link w:val="TextodecomentrioChar"/>
    <w:uiPriority w:val="99"/>
    <w:semiHidden/>
    <w:unhideWhenUsed/>
    <w:rsid w:val="0007463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7463C"/>
    <w:rPr>
      <w:rFonts w:ascii="Arial" w:eastAsia="Arial"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7463C"/>
    <w:rPr>
      <w:b/>
      <w:bCs/>
    </w:rPr>
  </w:style>
  <w:style w:type="character" w:customStyle="1" w:styleId="AssuntodocomentrioChar">
    <w:name w:val="Assunto do comentário Char"/>
    <w:basedOn w:val="TextodecomentrioChar"/>
    <w:link w:val="Assuntodocomentrio"/>
    <w:uiPriority w:val="99"/>
    <w:semiHidden/>
    <w:rsid w:val="0007463C"/>
    <w:rPr>
      <w:rFonts w:ascii="Arial" w:eastAsia="Arial" w:hAnsi="Arial" w:cs="Arial"/>
      <w:b/>
      <w:bCs/>
      <w:sz w:val="20"/>
      <w:szCs w:val="20"/>
      <w:lang w:eastAsia="pt-BR"/>
    </w:rPr>
  </w:style>
  <w:style w:type="paragraph" w:styleId="Textodebalo">
    <w:name w:val="Balloon Text"/>
    <w:basedOn w:val="Normal"/>
    <w:link w:val="TextodebaloChar"/>
    <w:uiPriority w:val="99"/>
    <w:semiHidden/>
    <w:unhideWhenUsed/>
    <w:rsid w:val="0007463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7463C"/>
    <w:rPr>
      <w:rFonts w:ascii="Segoe UI" w:eastAsia="Arial" w:hAnsi="Segoe UI" w:cs="Segoe UI"/>
      <w:sz w:val="18"/>
      <w:szCs w:val="18"/>
      <w:lang w:eastAsia="pt-BR"/>
    </w:rPr>
  </w:style>
  <w:style w:type="paragraph" w:styleId="Corpodetexto">
    <w:name w:val="Body Text"/>
    <w:basedOn w:val="Normal"/>
    <w:link w:val="CorpodetextoChar"/>
    <w:uiPriority w:val="1"/>
    <w:semiHidden/>
    <w:unhideWhenUsed/>
    <w:qFormat/>
    <w:rsid w:val="00E74A84"/>
    <w:pPr>
      <w:widowControl w:val="0"/>
      <w:autoSpaceDE w:val="0"/>
      <w:autoSpaceDN w:val="0"/>
      <w:spacing w:line="240" w:lineRule="auto"/>
    </w:pPr>
    <w:rPr>
      <w:rFonts w:ascii="Calibri Light" w:eastAsia="Calibri Light" w:hAnsi="Calibri Light" w:cs="Calibri Light"/>
      <w:lang w:val="pt-PT" w:eastAsia="en-US"/>
    </w:rPr>
  </w:style>
  <w:style w:type="character" w:customStyle="1" w:styleId="CorpodetextoChar">
    <w:name w:val="Corpo de texto Char"/>
    <w:basedOn w:val="Fontepargpadro"/>
    <w:link w:val="Corpodetexto"/>
    <w:uiPriority w:val="1"/>
    <w:semiHidden/>
    <w:rsid w:val="00E74A84"/>
    <w:rPr>
      <w:rFonts w:ascii="Calibri Light" w:eastAsia="Calibri Light" w:hAnsi="Calibri Light" w:cs="Calibri Light"/>
      <w:lang w:val="pt-PT"/>
    </w:rPr>
  </w:style>
  <w:style w:type="paragraph" w:customStyle="1" w:styleId="TableParagraph">
    <w:name w:val="Table Paragraph"/>
    <w:basedOn w:val="Normal"/>
    <w:uiPriority w:val="1"/>
    <w:qFormat/>
    <w:rsid w:val="00E74A84"/>
    <w:pPr>
      <w:widowControl w:val="0"/>
      <w:autoSpaceDE w:val="0"/>
      <w:autoSpaceDN w:val="0"/>
      <w:spacing w:line="240" w:lineRule="auto"/>
    </w:pPr>
    <w:rPr>
      <w:rFonts w:ascii="Calibri Light" w:eastAsia="Calibri Light" w:hAnsi="Calibri Light" w:cs="Calibri Light"/>
      <w:lang w:val="pt-PT" w:eastAsia="en-US"/>
    </w:rPr>
  </w:style>
  <w:style w:type="table" w:customStyle="1" w:styleId="TableNormal">
    <w:name w:val="Table Normal"/>
    <w:uiPriority w:val="2"/>
    <w:semiHidden/>
    <w:qFormat/>
    <w:rsid w:val="00E74A8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Cabealho">
    <w:name w:val="header"/>
    <w:basedOn w:val="Normal"/>
    <w:link w:val="CabealhoChar"/>
    <w:uiPriority w:val="99"/>
    <w:unhideWhenUsed/>
    <w:rsid w:val="007958FC"/>
    <w:pPr>
      <w:tabs>
        <w:tab w:val="center" w:pos="4252"/>
        <w:tab w:val="right" w:pos="8504"/>
      </w:tabs>
      <w:spacing w:line="240" w:lineRule="auto"/>
    </w:pPr>
  </w:style>
  <w:style w:type="character" w:customStyle="1" w:styleId="CabealhoChar">
    <w:name w:val="Cabeçalho Char"/>
    <w:basedOn w:val="Fontepargpadro"/>
    <w:link w:val="Cabealho"/>
    <w:uiPriority w:val="99"/>
    <w:rsid w:val="007958FC"/>
    <w:rPr>
      <w:rFonts w:ascii="Arial" w:eastAsia="Arial" w:hAnsi="Arial" w:cs="Arial"/>
      <w:lang w:eastAsia="pt-BR"/>
    </w:rPr>
  </w:style>
  <w:style w:type="paragraph" w:styleId="Rodap">
    <w:name w:val="footer"/>
    <w:basedOn w:val="Normal"/>
    <w:link w:val="RodapChar"/>
    <w:uiPriority w:val="99"/>
    <w:unhideWhenUsed/>
    <w:rsid w:val="007958FC"/>
    <w:pPr>
      <w:tabs>
        <w:tab w:val="center" w:pos="4252"/>
        <w:tab w:val="right" w:pos="8504"/>
      </w:tabs>
      <w:spacing w:line="240" w:lineRule="auto"/>
    </w:pPr>
  </w:style>
  <w:style w:type="character" w:customStyle="1" w:styleId="RodapChar">
    <w:name w:val="Rodapé Char"/>
    <w:basedOn w:val="Fontepargpadro"/>
    <w:link w:val="Rodap"/>
    <w:uiPriority w:val="99"/>
    <w:rsid w:val="007958FC"/>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42139-0F24-4DA9-963A-A3D5C9025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2513</Words>
  <Characters>13576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 da Silva Almeida</dc:creator>
  <cp:keywords/>
  <dc:description/>
  <cp:lastModifiedBy>Ranan Warszowski Barbosa</cp:lastModifiedBy>
  <cp:revision>7</cp:revision>
  <cp:lastPrinted>2026-05-07T20:02:00Z</cp:lastPrinted>
  <dcterms:created xsi:type="dcterms:W3CDTF">2026-05-07T19:57:00Z</dcterms:created>
  <dcterms:modified xsi:type="dcterms:W3CDTF">2026-05-19T20:00:00Z</dcterms:modified>
</cp:coreProperties>
</file>